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0B5A88F3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791527">
        <w:rPr>
          <w:rFonts w:ascii="Arial" w:hAnsi="Arial" w:cs="Arial"/>
          <w:b/>
          <w:bCs/>
          <w:color w:val="000000"/>
          <w:szCs w:val="24"/>
        </w:rPr>
        <w:t>26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7E649370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E84B89" w:rsidRPr="00AE20E2">
        <w:rPr>
          <w:rFonts w:ascii="Arial" w:hAnsi="Arial" w:cs="Arial"/>
          <w:color w:val="000000"/>
          <w:szCs w:val="24"/>
        </w:rPr>
        <w:t>0</w:t>
      </w:r>
      <w:r w:rsidR="00791527">
        <w:rPr>
          <w:rFonts w:ascii="Arial" w:hAnsi="Arial" w:cs="Arial"/>
          <w:color w:val="000000"/>
          <w:szCs w:val="24"/>
        </w:rPr>
        <w:t>6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0E5C68" w:rsidRPr="00AE20E2">
        <w:rPr>
          <w:rFonts w:ascii="Arial" w:hAnsi="Arial" w:cs="Arial"/>
          <w:color w:val="000000"/>
          <w:szCs w:val="24"/>
        </w:rPr>
        <w:t>dezembro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4AEA90B1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23BDAF51" w14:textId="77777777" w:rsidR="00AE20E2" w:rsidRPr="00AE20E2" w:rsidRDefault="00AE20E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lastRenderedPageBreak/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lastRenderedPageBreak/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>u de interesse coletivo ou geral, que deverão ser prestadas pela autoridade no prazo legal, norma esta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769A019" w14:textId="5A2FDFCF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9A9E448" w14:textId="05A7A76E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BCED173" w14:textId="1845DBE2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B111BEE" w14:textId="6A696774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8B2BFDB" w14:textId="2C7711EC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EF74AA5" w14:textId="1FF799D3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8D4ED1F" w14:textId="1B99A451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70417A2F" w14:textId="1AF95736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A936916" w14:textId="34337338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34D7F958" w14:textId="5C85822E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8DFF70E" w14:textId="13158D7C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3CE186C5" w14:textId="32FBFA4D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7BE216F" w14:textId="2415616A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346DAED" w14:textId="4B0C4C00" w:rsidR="000E5C68" w:rsidRDefault="00555C7C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Sendo assim, este vereador abaixo subscrito no uso das suas atribuições legais </w:t>
      </w:r>
      <w:r w:rsidRPr="00555C7C">
        <w:rPr>
          <w:rFonts w:ascii="Arial" w:hAnsi="Arial" w:cs="Arial"/>
          <w:b/>
          <w:bCs/>
          <w:color w:val="000000"/>
          <w:szCs w:val="24"/>
        </w:rPr>
        <w:t>REQUER</w:t>
      </w:r>
      <w:r>
        <w:rPr>
          <w:rFonts w:ascii="Arial" w:hAnsi="Arial" w:cs="Arial"/>
          <w:color w:val="000000"/>
          <w:szCs w:val="24"/>
        </w:rPr>
        <w:t xml:space="preserve"> as seguintes informações e documentos:</w:t>
      </w:r>
    </w:p>
    <w:p w14:paraId="11601926" w14:textId="2EB17004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E9AE2A7" w14:textId="77777777" w:rsidR="00470285" w:rsidRPr="005207DA" w:rsidRDefault="00470285" w:rsidP="005207DA">
      <w:pPr>
        <w:shd w:val="clear" w:color="auto" w:fill="FFFFFF"/>
        <w:rPr>
          <w:rFonts w:ascii="Arial" w:hAnsi="Arial" w:cs="Arial"/>
          <w:szCs w:val="24"/>
        </w:rPr>
      </w:pPr>
    </w:p>
    <w:p w14:paraId="01156857" w14:textId="77777777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2D508C47" w14:textId="77777777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06223BE4" w14:textId="77777777" w:rsidR="00555C7C" w:rsidRPr="005207DA" w:rsidRDefault="00555C7C" w:rsidP="00555C7C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</w:rPr>
        <w:t>Quais os valores recebidos pelo município do Fundo de Manutenção e Desenvolvimento da Educação Básica e de Valorização dos Profissionais da Educação – FUNDEB nos anos de 20</w:t>
      </w:r>
      <w:r>
        <w:rPr>
          <w:rFonts w:ascii="Arial" w:hAnsi="Arial" w:cs="Arial"/>
        </w:rPr>
        <w:t>20</w:t>
      </w:r>
      <w:r w:rsidRPr="005207DA">
        <w:rPr>
          <w:rFonts w:ascii="Arial" w:hAnsi="Arial" w:cs="Arial"/>
        </w:rPr>
        <w:t xml:space="preserve"> e 202</w:t>
      </w:r>
      <w:r>
        <w:rPr>
          <w:rFonts w:ascii="Arial" w:hAnsi="Arial" w:cs="Arial"/>
        </w:rPr>
        <w:t>1</w:t>
      </w:r>
      <w:r w:rsidRPr="005207DA">
        <w:rPr>
          <w:rFonts w:ascii="Arial" w:hAnsi="Arial" w:cs="Arial"/>
        </w:rPr>
        <w:t xml:space="preserve">? </w:t>
      </w:r>
    </w:p>
    <w:p w14:paraId="6A604C5D" w14:textId="77777777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0B5E8CA1" w14:textId="77777777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4545A972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1C8253A8" w14:textId="77777777" w:rsidR="00555C7C" w:rsidRPr="005207DA" w:rsidRDefault="00555C7C" w:rsidP="00555C7C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4ED01452" w14:textId="77777777" w:rsidR="00555C7C" w:rsidRPr="005207DA" w:rsidRDefault="00555C7C" w:rsidP="00555C7C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</w:rPr>
        <w:t xml:space="preserve">Como e em quais atividades foram aplicados </w:t>
      </w:r>
      <w:r>
        <w:rPr>
          <w:rFonts w:ascii="Arial" w:hAnsi="Arial" w:cs="Arial"/>
        </w:rPr>
        <w:t>os</w:t>
      </w:r>
      <w:r w:rsidRPr="005207DA">
        <w:rPr>
          <w:rFonts w:ascii="Arial" w:hAnsi="Arial" w:cs="Arial"/>
        </w:rPr>
        <w:t xml:space="preserve"> recursos</w:t>
      </w:r>
      <w:r>
        <w:rPr>
          <w:rFonts w:ascii="Arial" w:hAnsi="Arial" w:cs="Arial"/>
        </w:rPr>
        <w:t xml:space="preserve"> dos respectivos anos</w:t>
      </w:r>
      <w:r w:rsidRPr="005207DA">
        <w:rPr>
          <w:rFonts w:ascii="Arial" w:hAnsi="Arial" w:cs="Arial"/>
        </w:rPr>
        <w:t>?</w:t>
      </w:r>
    </w:p>
    <w:p w14:paraId="1FA861C9" w14:textId="77777777" w:rsidR="00555C7C" w:rsidRDefault="00555C7C" w:rsidP="00555C7C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19BC2740" w14:textId="77777777" w:rsidR="00555C7C" w:rsidRDefault="00555C7C" w:rsidP="00555C7C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623A83CF" w14:textId="77777777" w:rsidR="00555C7C" w:rsidRPr="005207DA" w:rsidRDefault="00555C7C" w:rsidP="00555C7C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79DF99ED" w14:textId="77777777" w:rsidR="00555C7C" w:rsidRPr="005207DA" w:rsidRDefault="00555C7C" w:rsidP="00555C7C">
      <w:pPr>
        <w:pStyle w:val="PargrafodaLista"/>
        <w:rPr>
          <w:rFonts w:ascii="Arial" w:hAnsi="Arial" w:cs="Arial"/>
          <w:szCs w:val="24"/>
        </w:rPr>
      </w:pPr>
    </w:p>
    <w:p w14:paraId="1221115C" w14:textId="77777777" w:rsidR="00555C7C" w:rsidRPr="005207DA" w:rsidRDefault="00555C7C" w:rsidP="00555C7C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</w:rPr>
        <w:t>Cópias das prestações de contas desses recursos, bem como os extratos bancários das movimentações da conta do FUNDEB desde janeiro de 20</w:t>
      </w:r>
      <w:r>
        <w:rPr>
          <w:rFonts w:ascii="Arial" w:hAnsi="Arial" w:cs="Arial"/>
        </w:rPr>
        <w:t>20</w:t>
      </w:r>
      <w:r w:rsidRPr="005207DA">
        <w:rPr>
          <w:rFonts w:ascii="Arial" w:hAnsi="Arial" w:cs="Arial"/>
        </w:rPr>
        <w:t>.</w:t>
      </w:r>
    </w:p>
    <w:p w14:paraId="19A3BE6E" w14:textId="77777777" w:rsidR="00555C7C" w:rsidRPr="005207DA" w:rsidRDefault="00555C7C" w:rsidP="00555C7C">
      <w:pPr>
        <w:rPr>
          <w:rFonts w:ascii="Arial" w:hAnsi="Arial" w:cs="Arial"/>
          <w:szCs w:val="24"/>
        </w:rPr>
      </w:pPr>
    </w:p>
    <w:p w14:paraId="39CD4ACB" w14:textId="77777777" w:rsidR="00555C7C" w:rsidRDefault="00555C7C" w:rsidP="00555C7C">
      <w:pPr>
        <w:rPr>
          <w:rFonts w:ascii="Arial" w:hAnsi="Arial" w:cs="Arial"/>
          <w:szCs w:val="24"/>
        </w:rPr>
      </w:pPr>
    </w:p>
    <w:p w14:paraId="13BB1681" w14:textId="77777777" w:rsidR="00555C7C" w:rsidRDefault="00555C7C" w:rsidP="00555C7C">
      <w:pPr>
        <w:rPr>
          <w:rFonts w:ascii="Arial" w:hAnsi="Arial" w:cs="Arial"/>
          <w:szCs w:val="24"/>
        </w:rPr>
      </w:pPr>
    </w:p>
    <w:p w14:paraId="0B5B14A7" w14:textId="77777777" w:rsidR="00555C7C" w:rsidRPr="005207DA" w:rsidRDefault="00555C7C" w:rsidP="00555C7C">
      <w:pPr>
        <w:rPr>
          <w:rFonts w:ascii="Arial" w:hAnsi="Arial" w:cs="Arial"/>
          <w:szCs w:val="24"/>
        </w:rPr>
      </w:pPr>
    </w:p>
    <w:p w14:paraId="40341094" w14:textId="77777777" w:rsidR="00555C7C" w:rsidRPr="005207DA" w:rsidRDefault="00555C7C" w:rsidP="00555C7C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</w:rPr>
        <w:t xml:space="preserve">Informar qual o saldo da conta bancária no dia </w:t>
      </w:r>
      <w:r>
        <w:rPr>
          <w:rFonts w:ascii="Arial" w:hAnsi="Arial" w:cs="Arial"/>
        </w:rPr>
        <w:t>01</w:t>
      </w:r>
      <w:r w:rsidRPr="005207DA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  <w:r w:rsidRPr="005207DA">
        <w:rPr>
          <w:rFonts w:ascii="Arial" w:hAnsi="Arial" w:cs="Arial"/>
        </w:rPr>
        <w:t>/2021.</w:t>
      </w:r>
    </w:p>
    <w:p w14:paraId="286CC34D" w14:textId="77777777" w:rsidR="00555C7C" w:rsidRDefault="00555C7C" w:rsidP="00555C7C">
      <w:pPr>
        <w:pStyle w:val="PargrafodaLista"/>
        <w:rPr>
          <w:rFonts w:ascii="Arial" w:hAnsi="Arial" w:cs="Arial"/>
          <w:szCs w:val="24"/>
        </w:rPr>
      </w:pPr>
    </w:p>
    <w:p w14:paraId="6F8D2A06" w14:textId="77777777" w:rsidR="00555C7C" w:rsidRDefault="00555C7C" w:rsidP="00555C7C">
      <w:pPr>
        <w:pStyle w:val="PargrafodaLista"/>
        <w:rPr>
          <w:rFonts w:ascii="Arial" w:hAnsi="Arial" w:cs="Arial"/>
          <w:szCs w:val="24"/>
        </w:rPr>
      </w:pPr>
    </w:p>
    <w:p w14:paraId="15922C35" w14:textId="77777777" w:rsidR="00555C7C" w:rsidRPr="005207DA" w:rsidRDefault="00555C7C" w:rsidP="00555C7C">
      <w:pPr>
        <w:pStyle w:val="PargrafodaLista"/>
        <w:rPr>
          <w:rFonts w:ascii="Arial" w:hAnsi="Arial" w:cs="Arial"/>
          <w:szCs w:val="24"/>
        </w:rPr>
      </w:pPr>
    </w:p>
    <w:p w14:paraId="23B6A2D4" w14:textId="77777777" w:rsidR="00555C7C" w:rsidRPr="005207DA" w:rsidRDefault="00555C7C" w:rsidP="00555C7C">
      <w:pPr>
        <w:pStyle w:val="PargrafodaLista"/>
        <w:rPr>
          <w:rFonts w:ascii="Arial" w:hAnsi="Arial" w:cs="Arial"/>
          <w:szCs w:val="24"/>
        </w:rPr>
      </w:pPr>
    </w:p>
    <w:p w14:paraId="309173FC" w14:textId="77777777" w:rsidR="00555C7C" w:rsidRPr="005207DA" w:rsidRDefault="00555C7C" w:rsidP="00555C7C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</w:rPr>
        <w:t>Enviar cópia atualizada do Regimento Interno do Conselho Municipal de Acompanhamento e Controle Social do Fundo de Manutenção e Desenvolvimento da Educação Básica e de Valorização dos Profissionais da Educação – FUNDEB</w:t>
      </w:r>
    </w:p>
    <w:p w14:paraId="571B63A3" w14:textId="77777777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50CA3CEE" w14:textId="77777777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799052B2" w14:textId="77777777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30C16782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06ACAEFC" w14:textId="1AF66339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79494EE1" w14:textId="0C641164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75FBE258" w14:textId="5B2752F0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0EA59C87" w14:textId="0272AAA2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0408B630" w14:textId="5D41FECB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47D89AC9" w14:textId="5BB6F4E6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14DDFA44" w14:textId="22D6CCF6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469FD93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29C1BB56" w14:textId="77777777" w:rsidR="00555C7C" w:rsidRPr="005207DA" w:rsidRDefault="00555C7C" w:rsidP="00555C7C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</w:rPr>
        <w:t>Enviar cópia do último decreto nomeando os membros do referido conselho.</w:t>
      </w:r>
    </w:p>
    <w:p w14:paraId="083C9827" w14:textId="77777777" w:rsidR="00555C7C" w:rsidRDefault="00555C7C" w:rsidP="00555C7C">
      <w:pPr>
        <w:shd w:val="clear" w:color="auto" w:fill="FFFFFF"/>
        <w:ind w:left="360"/>
        <w:rPr>
          <w:rFonts w:ascii="Arial" w:hAnsi="Arial" w:cs="Arial"/>
          <w:szCs w:val="24"/>
        </w:rPr>
      </w:pPr>
    </w:p>
    <w:p w14:paraId="17A5D5B4" w14:textId="77777777" w:rsidR="00555C7C" w:rsidRDefault="00555C7C" w:rsidP="00555C7C">
      <w:pPr>
        <w:shd w:val="clear" w:color="auto" w:fill="FFFFFF"/>
        <w:ind w:left="360"/>
        <w:rPr>
          <w:rFonts w:ascii="Arial" w:hAnsi="Arial" w:cs="Arial"/>
          <w:szCs w:val="24"/>
        </w:rPr>
      </w:pPr>
    </w:p>
    <w:p w14:paraId="50042372" w14:textId="77777777" w:rsidR="00555C7C" w:rsidRPr="005207DA" w:rsidRDefault="00555C7C" w:rsidP="00555C7C">
      <w:pPr>
        <w:shd w:val="clear" w:color="auto" w:fill="FFFFFF"/>
        <w:ind w:left="360"/>
        <w:rPr>
          <w:rFonts w:ascii="Arial" w:hAnsi="Arial" w:cs="Arial"/>
          <w:szCs w:val="24"/>
        </w:rPr>
      </w:pPr>
    </w:p>
    <w:p w14:paraId="49D0AA13" w14:textId="77777777" w:rsidR="00555C7C" w:rsidRPr="005207DA" w:rsidRDefault="00555C7C" w:rsidP="00555C7C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</w:rPr>
        <w:t>Tendo em vista posicionamento favorável do tribunal de contas em relação ao rateio das “Sobras” do FUNDEB, como Cambé irá se comportar a respeito do mesmo? Será feito o rateio? Se SIM, especifique as datas, prazos e de que forma se dará o mesmo, SE NÃO, especifique o motivo.</w:t>
      </w:r>
    </w:p>
    <w:p w14:paraId="651976B0" w14:textId="77777777" w:rsidR="00555C7C" w:rsidRPr="005207DA" w:rsidRDefault="00555C7C" w:rsidP="00555C7C">
      <w:pPr>
        <w:shd w:val="clear" w:color="auto" w:fill="FFFFFF"/>
        <w:ind w:left="360"/>
        <w:rPr>
          <w:rFonts w:ascii="Arial" w:hAnsi="Arial" w:cs="Arial"/>
          <w:szCs w:val="24"/>
        </w:rPr>
      </w:pPr>
    </w:p>
    <w:p w14:paraId="1CEB2B56" w14:textId="77777777" w:rsidR="00555C7C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04EA3D37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293B1896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5B2AEF68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48FB52D1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</w:p>
    <w:p w14:paraId="6CA4F2FD" w14:textId="77777777" w:rsidR="00555C7C" w:rsidRDefault="00555C7C" w:rsidP="00555C7C">
      <w:pPr>
        <w:shd w:val="clear" w:color="auto" w:fill="FFFFFF"/>
        <w:rPr>
          <w:szCs w:val="24"/>
        </w:rPr>
      </w:pP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BEE70CD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56A18F4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724C101F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6B135A0A" w14:textId="77777777" w:rsidR="00555C7C" w:rsidRDefault="00555C7C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6072174F" w14:textId="77777777" w:rsidR="00555C7C" w:rsidRDefault="00555C7C" w:rsidP="00555C7C">
      <w:pPr>
        <w:shd w:val="clear" w:color="auto" w:fill="FFFFFF"/>
        <w:rPr>
          <w:szCs w:val="24"/>
        </w:rPr>
      </w:pPr>
    </w:p>
    <w:p w14:paraId="13F51E46" w14:textId="77777777" w:rsidR="00555C7C" w:rsidRDefault="00555C7C" w:rsidP="00555C7C">
      <w:pPr>
        <w:shd w:val="clear" w:color="auto" w:fill="FFFFFF"/>
        <w:rPr>
          <w:szCs w:val="24"/>
        </w:rPr>
      </w:pP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77777777" w:rsidR="00555C7C" w:rsidRDefault="00555C7C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095DFAC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0B295E9" w14:textId="77777777" w:rsidR="00555C7C" w:rsidRPr="00231B9B" w:rsidRDefault="00555C7C" w:rsidP="00555C7C">
      <w:pPr>
        <w:shd w:val="clear" w:color="auto" w:fill="FFFFFF" w:themeFill="background1"/>
        <w:rPr>
          <w:rFonts w:ascii="Arial" w:hAnsi="Arial" w:cs="Arial"/>
        </w:rPr>
      </w:pPr>
    </w:p>
    <w:p w14:paraId="7FAE5FA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12"/>
  </w:num>
  <w:num w:numId="5">
    <w:abstractNumId w:val="8"/>
  </w:num>
  <w:num w:numId="6">
    <w:abstractNumId w:val="3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13"/>
  </w:num>
  <w:num w:numId="12">
    <w:abstractNumId w:val="23"/>
  </w:num>
  <w:num w:numId="13">
    <w:abstractNumId w:val="16"/>
  </w:num>
  <w:num w:numId="14">
    <w:abstractNumId w:val="20"/>
  </w:num>
  <w:num w:numId="15">
    <w:abstractNumId w:val="5"/>
  </w:num>
  <w:num w:numId="16">
    <w:abstractNumId w:val="22"/>
  </w:num>
  <w:num w:numId="17">
    <w:abstractNumId w:val="10"/>
    <w:lvlOverride w:ilvl="0">
      <w:lvl w:ilvl="0">
        <w:numFmt w:val="lowerLetter"/>
        <w:lvlText w:val="%1."/>
        <w:lvlJc w:val="left"/>
      </w:lvl>
    </w:lvlOverride>
  </w:num>
  <w:num w:numId="18">
    <w:abstractNumId w:val="19"/>
  </w:num>
  <w:num w:numId="19">
    <w:abstractNumId w:val="26"/>
  </w:num>
  <w:num w:numId="20">
    <w:abstractNumId w:val="25"/>
  </w:num>
  <w:num w:numId="21">
    <w:abstractNumId w:val="11"/>
  </w:num>
  <w:num w:numId="22">
    <w:abstractNumId w:val="15"/>
  </w:num>
  <w:num w:numId="23">
    <w:abstractNumId w:val="28"/>
  </w:num>
  <w:num w:numId="24">
    <w:abstractNumId w:val="1"/>
  </w:num>
  <w:num w:numId="25">
    <w:abstractNumId w:val="7"/>
  </w:num>
  <w:num w:numId="26">
    <w:abstractNumId w:val="6"/>
  </w:num>
  <w:num w:numId="27">
    <w:abstractNumId w:val="17"/>
  </w:num>
  <w:num w:numId="28">
    <w:abstractNumId w:val="1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Line 9"/>
        <o:r id="V:Rule2" type="connector" idref="#Line 4"/>
        <o:r id="V:Rule3" type="connector" idref="#Line 10"/>
        <o:r id="V:Rule4" type="connector" idref="#Line 7"/>
        <o:r id="V:Rule5" type="connector" idref="#Line 5"/>
        <o:r id="V:Rule6" type="connector" idref="#Line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E5C68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80C70"/>
    <w:rsid w:val="001D7CD5"/>
    <w:rsid w:val="0020471C"/>
    <w:rsid w:val="00223ED1"/>
    <w:rsid w:val="00231B9B"/>
    <w:rsid w:val="00232382"/>
    <w:rsid w:val="00234521"/>
    <w:rsid w:val="00241740"/>
    <w:rsid w:val="002439E0"/>
    <w:rsid w:val="0025560C"/>
    <w:rsid w:val="00255D5B"/>
    <w:rsid w:val="00261EF5"/>
    <w:rsid w:val="002629BE"/>
    <w:rsid w:val="00263EC6"/>
    <w:rsid w:val="00274885"/>
    <w:rsid w:val="002876FE"/>
    <w:rsid w:val="002A2E66"/>
    <w:rsid w:val="002C6B58"/>
    <w:rsid w:val="00320837"/>
    <w:rsid w:val="0033028E"/>
    <w:rsid w:val="0034063C"/>
    <w:rsid w:val="00347733"/>
    <w:rsid w:val="00350BC1"/>
    <w:rsid w:val="00353F77"/>
    <w:rsid w:val="00373DD9"/>
    <w:rsid w:val="0038522E"/>
    <w:rsid w:val="00397141"/>
    <w:rsid w:val="003A37F9"/>
    <w:rsid w:val="003B0D00"/>
    <w:rsid w:val="003D5A2F"/>
    <w:rsid w:val="00413915"/>
    <w:rsid w:val="00434FF6"/>
    <w:rsid w:val="00445F0A"/>
    <w:rsid w:val="00470285"/>
    <w:rsid w:val="004712A8"/>
    <w:rsid w:val="004B531D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66C7B"/>
    <w:rsid w:val="00694014"/>
    <w:rsid w:val="006B2B02"/>
    <w:rsid w:val="006B79B4"/>
    <w:rsid w:val="0070487E"/>
    <w:rsid w:val="0071347F"/>
    <w:rsid w:val="00734514"/>
    <w:rsid w:val="00735D05"/>
    <w:rsid w:val="0074301F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A515E"/>
    <w:rsid w:val="008C6316"/>
    <w:rsid w:val="008F28CC"/>
    <w:rsid w:val="00913B05"/>
    <w:rsid w:val="00915852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C1E"/>
    <w:rsid w:val="00A17BEC"/>
    <w:rsid w:val="00A2170D"/>
    <w:rsid w:val="00A31473"/>
    <w:rsid w:val="00A46BE4"/>
    <w:rsid w:val="00A56ABB"/>
    <w:rsid w:val="00A9497C"/>
    <w:rsid w:val="00A94D0F"/>
    <w:rsid w:val="00AE20E2"/>
    <w:rsid w:val="00AE5C03"/>
    <w:rsid w:val="00AF1E75"/>
    <w:rsid w:val="00AF47BC"/>
    <w:rsid w:val="00B23578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F21B5"/>
    <w:rsid w:val="00C21FB9"/>
    <w:rsid w:val="00C57F09"/>
    <w:rsid w:val="00CA1EE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C7D5A"/>
    <w:rsid w:val="00ED2FE9"/>
    <w:rsid w:val="00ED470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1185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2</cp:revision>
  <cp:lastPrinted>2021-12-06T15:35:00Z</cp:lastPrinted>
  <dcterms:created xsi:type="dcterms:W3CDTF">2021-12-06T15:38:00Z</dcterms:created>
  <dcterms:modified xsi:type="dcterms:W3CDTF">2021-12-06T15:38:00Z</dcterms:modified>
</cp:coreProperties>
</file>