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AD" w:rsidRDefault="00932BAD"/>
    <w:p w:rsidR="00290981" w:rsidRDefault="00290981" w:rsidP="00290981">
      <w:pPr>
        <w:spacing w:before="60" w:after="60" w:line="320" w:lineRule="atLeast"/>
        <w:jc w:val="both"/>
        <w:rPr>
          <w:b/>
          <w:szCs w:val="24"/>
        </w:rPr>
      </w:pPr>
    </w:p>
    <w:p w:rsidR="00290981" w:rsidRDefault="00290981" w:rsidP="00290981">
      <w:pPr>
        <w:spacing w:before="60" w:after="60" w:line="320" w:lineRule="atLeast"/>
        <w:jc w:val="center"/>
        <w:rPr>
          <w:b/>
          <w:szCs w:val="24"/>
        </w:rPr>
      </w:pPr>
      <w:r>
        <w:rPr>
          <w:b/>
          <w:szCs w:val="24"/>
        </w:rPr>
        <w:t>ANEXO IV – LEI DO PLANO DIRETOR MUNICIPAL DA CAMBÉ</w:t>
      </w:r>
    </w:p>
    <w:p w:rsidR="00290981" w:rsidRDefault="00290981" w:rsidP="00290981">
      <w:pPr>
        <w:spacing w:before="60" w:after="60" w:line="320" w:lineRule="atLeast"/>
        <w:jc w:val="center"/>
        <w:rPr>
          <w:b/>
          <w:szCs w:val="24"/>
        </w:rPr>
      </w:pPr>
      <w:r w:rsidRPr="008A726C">
        <w:rPr>
          <w:b/>
          <w:szCs w:val="24"/>
        </w:rPr>
        <w:t>INDICADORES DE AVALIAÇÃO DO DESENVOLVIMENTO MUNICIPAL</w:t>
      </w:r>
    </w:p>
    <w:p w:rsidR="00290981" w:rsidRPr="00F273C1" w:rsidRDefault="00290981" w:rsidP="00290981">
      <w:pPr>
        <w:spacing w:before="60" w:after="60" w:line="320" w:lineRule="atLeast"/>
        <w:jc w:val="both"/>
        <w:rPr>
          <w:b/>
          <w:szCs w:val="24"/>
        </w:rPr>
      </w:pPr>
    </w:p>
    <w:p w:rsidR="00290981" w:rsidRDefault="00290981" w:rsidP="00290981">
      <w:pPr>
        <w:pStyle w:val="Recuodecorpodetexto2"/>
        <w:spacing w:before="60" w:after="60" w:line="320" w:lineRule="atLeast"/>
      </w:pPr>
      <w:r w:rsidRPr="00D95373">
        <w:t xml:space="preserve">O monitoramento e controle do Sistema Municipal de Planejamento e Gestão solicita </w:t>
      </w:r>
      <w:r>
        <w:t>deverá observar</w:t>
      </w:r>
      <w:r>
        <w:t>, no mínimo,</w:t>
      </w:r>
      <w:r w:rsidRPr="00D95373">
        <w:t xml:space="preserve"> os seguintes indicadores:</w:t>
      </w:r>
    </w:p>
    <w:p w:rsidR="00290981" w:rsidRDefault="00290981" w:rsidP="00290981">
      <w:pPr>
        <w:pStyle w:val="Recuodecorpodetexto2"/>
        <w:spacing w:before="60" w:after="60" w:line="320" w:lineRule="atLeast"/>
      </w:pPr>
    </w:p>
    <w:p w:rsidR="00290981" w:rsidRPr="00451317" w:rsidRDefault="00290981" w:rsidP="00290981">
      <w:pPr>
        <w:pStyle w:val="Legenda"/>
        <w:rPr>
          <w:sz w:val="24"/>
          <w:szCs w:val="24"/>
        </w:rPr>
      </w:pPr>
      <w:r w:rsidRPr="00451317">
        <w:rPr>
          <w:sz w:val="24"/>
          <w:szCs w:val="24"/>
        </w:rPr>
        <w:t>TABELA IC 0</w:t>
      </w:r>
      <w:r>
        <w:rPr>
          <w:sz w:val="24"/>
          <w:szCs w:val="24"/>
        </w:rPr>
        <w:t>1</w:t>
      </w:r>
      <w:r w:rsidRPr="00451317">
        <w:rPr>
          <w:sz w:val="24"/>
          <w:szCs w:val="24"/>
        </w:rPr>
        <w:t xml:space="preserve"> – CAMBÉ</w:t>
      </w:r>
    </w:p>
    <w:p w:rsidR="00290981" w:rsidRPr="00451317" w:rsidRDefault="00290981" w:rsidP="00290981">
      <w:pPr>
        <w:pStyle w:val="Legenda"/>
        <w:rPr>
          <w:sz w:val="24"/>
          <w:szCs w:val="24"/>
        </w:rPr>
      </w:pPr>
      <w:r w:rsidRPr="00451317">
        <w:rPr>
          <w:sz w:val="24"/>
          <w:szCs w:val="24"/>
        </w:rPr>
        <w:t>ÍNDICES DE REFERÊNCIA PARA EVOLUÇÃO DEMOGRÁFICA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74"/>
        <w:gridCol w:w="2274"/>
        <w:gridCol w:w="2274"/>
      </w:tblGrid>
      <w:tr w:rsidR="00290981" w:rsidRPr="00486EE6" w:rsidTr="006953A1">
        <w:trPr>
          <w:trHeight w:val="675"/>
          <w:jc w:val="center"/>
        </w:trPr>
        <w:tc>
          <w:tcPr>
            <w:tcW w:w="2250" w:type="dxa"/>
            <w:shd w:val="clear" w:color="auto" w:fill="D9D9D9"/>
            <w:vAlign w:val="center"/>
          </w:tcPr>
          <w:p w:rsidR="00290981" w:rsidRPr="00486EE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86EE6">
              <w:rPr>
                <w:b/>
              </w:rPr>
              <w:t>ANO</w:t>
            </w:r>
          </w:p>
        </w:tc>
        <w:tc>
          <w:tcPr>
            <w:tcW w:w="2274" w:type="dxa"/>
            <w:shd w:val="clear" w:color="auto" w:fill="D9D9D9"/>
            <w:vAlign w:val="center"/>
          </w:tcPr>
          <w:p w:rsidR="00290981" w:rsidRPr="00486EE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86EE6">
              <w:rPr>
                <w:b/>
              </w:rPr>
              <w:t>POPULAÇÃO URBANA</w:t>
            </w:r>
          </w:p>
        </w:tc>
        <w:tc>
          <w:tcPr>
            <w:tcW w:w="2274" w:type="dxa"/>
            <w:shd w:val="clear" w:color="auto" w:fill="D9D9D9"/>
            <w:vAlign w:val="center"/>
          </w:tcPr>
          <w:p w:rsidR="00290981" w:rsidRPr="00486EE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86EE6">
              <w:rPr>
                <w:b/>
              </w:rPr>
              <w:t>POPULAÇÃO RURAL</w:t>
            </w:r>
          </w:p>
        </w:tc>
        <w:tc>
          <w:tcPr>
            <w:tcW w:w="2274" w:type="dxa"/>
            <w:shd w:val="clear" w:color="auto" w:fill="D9D9D9"/>
            <w:vAlign w:val="center"/>
          </w:tcPr>
          <w:p w:rsidR="00290981" w:rsidRPr="00486EE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86EE6">
              <w:rPr>
                <w:b/>
              </w:rPr>
              <w:t>POPULAÇÃO TOTAL</w:t>
            </w:r>
          </w:p>
        </w:tc>
      </w:tr>
      <w:tr w:rsidR="00290981" w:rsidRPr="00C92988" w:rsidTr="006953A1">
        <w:trPr>
          <w:trHeight w:val="527"/>
          <w:jc w:val="center"/>
        </w:trPr>
        <w:tc>
          <w:tcPr>
            <w:tcW w:w="2250" w:type="dxa"/>
            <w:vAlign w:val="center"/>
          </w:tcPr>
          <w:p w:rsidR="00290981" w:rsidRPr="00C92988" w:rsidRDefault="00290981" w:rsidP="006953A1">
            <w:pPr>
              <w:pStyle w:val="Dadostabelas0"/>
              <w:spacing w:before="20" w:after="20"/>
              <w:ind w:left="257"/>
              <w:jc w:val="left"/>
              <w:rPr>
                <w:sz w:val="20"/>
              </w:rPr>
            </w:pPr>
            <w:r w:rsidRPr="00C92988">
              <w:rPr>
                <w:sz w:val="20"/>
              </w:rPr>
              <w:t>1991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66.817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7.025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73.842</w:t>
            </w:r>
          </w:p>
        </w:tc>
      </w:tr>
      <w:tr w:rsidR="00290981" w:rsidRPr="00C92988" w:rsidTr="006953A1">
        <w:trPr>
          <w:trHeight w:val="527"/>
          <w:jc w:val="center"/>
        </w:trPr>
        <w:tc>
          <w:tcPr>
            <w:tcW w:w="2250" w:type="dxa"/>
            <w:vAlign w:val="center"/>
          </w:tcPr>
          <w:p w:rsidR="00290981" w:rsidRPr="00C92988" w:rsidRDefault="00290981" w:rsidP="006953A1">
            <w:pPr>
              <w:pStyle w:val="Dadostabelas0"/>
              <w:spacing w:before="20" w:after="20"/>
              <w:ind w:left="257"/>
              <w:jc w:val="left"/>
              <w:rPr>
                <w:sz w:val="20"/>
              </w:rPr>
            </w:pPr>
            <w:r w:rsidRPr="00C92988">
              <w:rPr>
                <w:sz w:val="20"/>
              </w:rPr>
              <w:t>2000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81.942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6.244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88.186</w:t>
            </w:r>
          </w:p>
        </w:tc>
      </w:tr>
      <w:tr w:rsidR="00290981" w:rsidRPr="00C92988" w:rsidTr="006953A1">
        <w:trPr>
          <w:trHeight w:val="527"/>
          <w:jc w:val="center"/>
        </w:trPr>
        <w:tc>
          <w:tcPr>
            <w:tcW w:w="2250" w:type="dxa"/>
            <w:vAlign w:val="center"/>
          </w:tcPr>
          <w:p w:rsidR="00290981" w:rsidRPr="00C92988" w:rsidRDefault="00290981" w:rsidP="006953A1">
            <w:pPr>
              <w:pStyle w:val="Dadostabelas0"/>
              <w:spacing w:before="20" w:after="20"/>
              <w:ind w:left="257"/>
              <w:jc w:val="left"/>
              <w:rPr>
                <w:sz w:val="20"/>
              </w:rPr>
            </w:pPr>
            <w:r w:rsidRPr="00C92988">
              <w:rPr>
                <w:sz w:val="20"/>
              </w:rPr>
              <w:t>2010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92.952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3.781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sz w:val="20"/>
              </w:rPr>
              <w:t>96.733</w:t>
            </w:r>
          </w:p>
        </w:tc>
      </w:tr>
      <w:tr w:rsidR="00290981" w:rsidRPr="00C92988" w:rsidTr="006953A1">
        <w:trPr>
          <w:trHeight w:val="527"/>
          <w:jc w:val="center"/>
        </w:trPr>
        <w:tc>
          <w:tcPr>
            <w:tcW w:w="2250" w:type="dxa"/>
            <w:vAlign w:val="center"/>
          </w:tcPr>
          <w:p w:rsidR="00290981" w:rsidRPr="00C92988" w:rsidRDefault="00290981" w:rsidP="006953A1">
            <w:pPr>
              <w:pStyle w:val="Dadostabelas0"/>
              <w:spacing w:before="20" w:after="20"/>
              <w:ind w:left="257"/>
              <w:jc w:val="left"/>
              <w:rPr>
                <w:sz w:val="20"/>
              </w:rPr>
            </w:pPr>
            <w:r w:rsidRPr="00C92988">
              <w:rPr>
                <w:sz w:val="20"/>
              </w:rPr>
              <w:t>2017 (projetada)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rFonts w:cs="Arial"/>
                <w:sz w:val="20"/>
              </w:rPr>
              <w:t>101.238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rFonts w:cs="Arial"/>
                <w:sz w:val="20"/>
              </w:rPr>
              <w:t>4.109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sz w:val="20"/>
              </w:rPr>
            </w:pPr>
            <w:r w:rsidRPr="00C92988">
              <w:rPr>
                <w:rFonts w:cs="Arial"/>
                <w:sz w:val="20"/>
              </w:rPr>
              <w:t>105.347</w:t>
            </w:r>
          </w:p>
        </w:tc>
      </w:tr>
      <w:tr w:rsidR="00290981" w:rsidRPr="00C92988" w:rsidTr="006953A1">
        <w:trPr>
          <w:trHeight w:val="527"/>
          <w:jc w:val="center"/>
        </w:trPr>
        <w:tc>
          <w:tcPr>
            <w:tcW w:w="2250" w:type="dxa"/>
            <w:vAlign w:val="center"/>
          </w:tcPr>
          <w:p w:rsidR="00290981" w:rsidRPr="00C92988" w:rsidRDefault="00290981" w:rsidP="006953A1">
            <w:pPr>
              <w:pStyle w:val="Dadostabelas0"/>
              <w:spacing w:before="20" w:after="20"/>
              <w:ind w:left="257"/>
              <w:jc w:val="left"/>
              <w:rPr>
                <w:sz w:val="20"/>
                <w:highlight w:val="yellow"/>
              </w:rPr>
            </w:pPr>
            <w:r w:rsidRPr="00C92988">
              <w:rPr>
                <w:rFonts w:cs="Arial"/>
                <w:sz w:val="20"/>
              </w:rPr>
              <w:t>2027</w:t>
            </w:r>
            <w:r w:rsidRPr="00C92988">
              <w:rPr>
                <w:sz w:val="20"/>
              </w:rPr>
              <w:t>(projetada)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C92988">
              <w:rPr>
                <w:rFonts w:cs="Arial"/>
                <w:sz w:val="20"/>
              </w:rPr>
              <w:t>111.634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C92988">
              <w:rPr>
                <w:rFonts w:cs="Arial"/>
                <w:sz w:val="20"/>
              </w:rPr>
              <w:t>3.930</w:t>
            </w:r>
          </w:p>
        </w:tc>
        <w:tc>
          <w:tcPr>
            <w:tcW w:w="2274" w:type="dxa"/>
            <w:vAlign w:val="center"/>
          </w:tcPr>
          <w:p w:rsidR="00290981" w:rsidRPr="00C92988" w:rsidRDefault="00290981" w:rsidP="006953A1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C92988">
              <w:rPr>
                <w:rFonts w:cs="Arial"/>
                <w:sz w:val="20"/>
              </w:rPr>
              <w:t>115.564</w:t>
            </w:r>
          </w:p>
        </w:tc>
      </w:tr>
    </w:tbl>
    <w:p w:rsidR="00290981" w:rsidRPr="00486EE6" w:rsidRDefault="00290981" w:rsidP="00290981">
      <w:pPr>
        <w:pStyle w:val="Fonte"/>
        <w:ind w:firstLine="2694"/>
      </w:pPr>
      <w:r w:rsidRPr="00486EE6">
        <w:t>Fonte: IBGE. Censos Demográficos 1991, 2000 e 2010.</w:t>
      </w:r>
    </w:p>
    <w:p w:rsidR="00290981" w:rsidRDefault="00290981" w:rsidP="00290981">
      <w:pPr>
        <w:pStyle w:val="Recuodecorpodetexto2"/>
        <w:spacing w:before="60" w:after="60" w:line="320" w:lineRule="atLeast"/>
      </w:pPr>
    </w:p>
    <w:p w:rsidR="00290981" w:rsidRPr="00D95373" w:rsidRDefault="00290981" w:rsidP="00290981">
      <w:pPr>
        <w:spacing w:before="60" w:after="60" w:line="320" w:lineRule="atLeast"/>
        <w:jc w:val="both"/>
      </w:pPr>
    </w:p>
    <w:p w:rsidR="00290981" w:rsidRDefault="00290981" w:rsidP="00290981">
      <w:pPr>
        <w:pStyle w:val="Ttulo3"/>
        <w:spacing w:before="0" w:after="0" w:line="240" w:lineRule="auto"/>
        <w:rPr>
          <w:b w:val="0"/>
          <w:sz w:val="20"/>
        </w:rPr>
        <w:sectPr w:rsidR="00290981" w:rsidSect="00EC6079">
          <w:headerReference w:type="default" r:id="rId7"/>
          <w:pgSz w:w="11906" w:h="16838" w:code="9"/>
          <w:pgMar w:top="1701" w:right="1134" w:bottom="1134" w:left="1701" w:header="851" w:footer="851" w:gutter="0"/>
          <w:cols w:space="708"/>
          <w:docGrid w:linePitch="360"/>
        </w:sectPr>
      </w:pPr>
    </w:p>
    <w:p w:rsidR="00290981" w:rsidRPr="00D95373" w:rsidRDefault="00290981" w:rsidP="00290981">
      <w:pPr>
        <w:pStyle w:val="Ttulo3"/>
        <w:spacing w:before="0" w:after="0" w:line="240" w:lineRule="auto"/>
        <w:rPr>
          <w:b w:val="0"/>
          <w:sz w:val="20"/>
        </w:rPr>
      </w:pPr>
    </w:p>
    <w:p w:rsidR="00290981" w:rsidRPr="00222451" w:rsidRDefault="00290981" w:rsidP="00290981">
      <w:pPr>
        <w:pStyle w:val="Legenda"/>
        <w:rPr>
          <w:sz w:val="24"/>
          <w:szCs w:val="24"/>
        </w:rPr>
      </w:pPr>
      <w:bookmarkStart w:id="0" w:name="_Hlk508789939"/>
      <w:r w:rsidRPr="00222451">
        <w:rPr>
          <w:sz w:val="24"/>
          <w:szCs w:val="24"/>
        </w:rPr>
        <w:t>TABELA IC 0</w:t>
      </w:r>
      <w:r>
        <w:rPr>
          <w:sz w:val="24"/>
          <w:szCs w:val="24"/>
        </w:rPr>
        <w:t>2</w:t>
      </w:r>
      <w:r w:rsidRPr="00222451">
        <w:rPr>
          <w:sz w:val="24"/>
          <w:szCs w:val="24"/>
        </w:rPr>
        <w:t xml:space="preserve"> – CAMBÉ</w:t>
      </w:r>
    </w:p>
    <w:p w:rsidR="00290981" w:rsidRPr="00222451" w:rsidRDefault="00290981" w:rsidP="00290981">
      <w:pPr>
        <w:pStyle w:val="Legenda"/>
        <w:rPr>
          <w:sz w:val="24"/>
          <w:szCs w:val="24"/>
        </w:rPr>
      </w:pPr>
      <w:bookmarkStart w:id="1" w:name="_Hlk508638618"/>
      <w:bookmarkStart w:id="2" w:name="_Hlk508789922"/>
      <w:bookmarkEnd w:id="0"/>
      <w:r>
        <w:rPr>
          <w:sz w:val="24"/>
          <w:szCs w:val="24"/>
        </w:rPr>
        <w:t xml:space="preserve">ÍNDICES de referência para </w:t>
      </w:r>
      <w:bookmarkEnd w:id="1"/>
      <w:r>
        <w:rPr>
          <w:sz w:val="24"/>
          <w:szCs w:val="24"/>
        </w:rPr>
        <w:t>proteção e preservação ambiental</w:t>
      </w:r>
    </w:p>
    <w:p w:rsidR="00290981" w:rsidRDefault="00290981" w:rsidP="00290981">
      <w:pPr>
        <w:jc w:val="center"/>
        <w:rPr>
          <w:b/>
        </w:rPr>
      </w:pPr>
    </w:p>
    <w:p w:rsidR="00290981" w:rsidRPr="00D95373" w:rsidRDefault="00290981" w:rsidP="00290981">
      <w:pPr>
        <w:jc w:val="both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5528"/>
        <w:gridCol w:w="921"/>
        <w:gridCol w:w="922"/>
        <w:gridCol w:w="851"/>
        <w:gridCol w:w="1134"/>
      </w:tblGrid>
      <w:tr w:rsidR="00290981" w:rsidRPr="00D95373" w:rsidTr="006953A1">
        <w:trPr>
          <w:cantSplit/>
          <w:trHeight w:val="32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:rsidR="00290981" w:rsidRPr="00D95373" w:rsidRDefault="00290981" w:rsidP="006953A1">
            <w:pPr>
              <w:pStyle w:val="Ttulo8"/>
            </w:pPr>
            <w:r w:rsidRPr="00D95373">
              <w:t>Indicador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90981" w:rsidRPr="00D95373" w:rsidRDefault="00290981" w:rsidP="006953A1">
            <w:pPr>
              <w:spacing w:before="20" w:after="20"/>
              <w:jc w:val="center"/>
              <w:rPr>
                <w:b/>
                <w:sz w:val="20"/>
              </w:rPr>
            </w:pPr>
            <w:r w:rsidRPr="00D95373">
              <w:rPr>
                <w:b/>
                <w:sz w:val="20"/>
              </w:rPr>
              <w:t>Abrangência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:rsidR="00290981" w:rsidRPr="00D95373" w:rsidRDefault="00290981" w:rsidP="006953A1">
            <w:pPr>
              <w:spacing w:before="20" w:after="20"/>
              <w:jc w:val="center"/>
              <w:rPr>
                <w:b/>
                <w:sz w:val="20"/>
              </w:rPr>
            </w:pPr>
            <w:r w:rsidRPr="00D95373">
              <w:rPr>
                <w:b/>
                <w:sz w:val="20"/>
              </w:rPr>
              <w:t>Caracterização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290981" w:rsidRPr="00D95373" w:rsidRDefault="00290981" w:rsidP="006953A1">
            <w:pPr>
              <w:spacing w:before="20" w:after="20"/>
              <w:jc w:val="center"/>
              <w:rPr>
                <w:b/>
                <w:sz w:val="20"/>
              </w:rPr>
            </w:pPr>
            <w:r w:rsidRPr="00D95373">
              <w:rPr>
                <w:b/>
                <w:sz w:val="20"/>
              </w:rPr>
              <w:t>Situação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290981" w:rsidRPr="00D95373" w:rsidRDefault="00290981" w:rsidP="006953A1">
            <w:pPr>
              <w:spacing w:before="20" w:after="20"/>
              <w:jc w:val="center"/>
              <w:rPr>
                <w:b/>
                <w:sz w:val="20"/>
              </w:rPr>
            </w:pPr>
            <w:r w:rsidRPr="00D95373">
              <w:rPr>
                <w:b/>
                <w:sz w:val="20"/>
              </w:rPr>
              <w:t>Meta</w:t>
            </w:r>
          </w:p>
        </w:tc>
      </w:tr>
      <w:tr w:rsidR="00290981" w:rsidRPr="00E674DF" w:rsidTr="006953A1">
        <w:trPr>
          <w:cantSplit/>
          <w:trHeight w:val="320"/>
        </w:trPr>
        <w:tc>
          <w:tcPr>
            <w:tcW w:w="2694" w:type="dxa"/>
            <w:vMerge/>
            <w:vAlign w:val="center"/>
          </w:tcPr>
          <w:p w:rsidR="00290981" w:rsidRPr="00E674DF" w:rsidRDefault="00290981" w:rsidP="006953A1">
            <w:pPr>
              <w:spacing w:before="20" w:after="20"/>
              <w:jc w:val="both"/>
              <w:rPr>
                <w:b/>
                <w:color w:val="FF0000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90981" w:rsidRPr="00E674DF" w:rsidRDefault="00290981" w:rsidP="006953A1">
            <w:pPr>
              <w:spacing w:before="20" w:after="20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5528" w:type="dxa"/>
            <w:vMerge/>
            <w:vAlign w:val="center"/>
          </w:tcPr>
          <w:p w:rsidR="00290981" w:rsidRPr="00E674DF" w:rsidRDefault="00290981" w:rsidP="006953A1">
            <w:pPr>
              <w:spacing w:before="20" w:after="20"/>
              <w:jc w:val="both"/>
              <w:rPr>
                <w:b/>
                <w:color w:val="FF0000"/>
                <w:sz w:val="20"/>
              </w:rPr>
            </w:pPr>
          </w:p>
        </w:tc>
        <w:tc>
          <w:tcPr>
            <w:tcW w:w="921" w:type="dxa"/>
            <w:shd w:val="clear" w:color="auto" w:fill="D9D9D9"/>
            <w:vAlign w:val="center"/>
          </w:tcPr>
          <w:p w:rsidR="00290981" w:rsidRPr="00F9427F" w:rsidRDefault="00290981" w:rsidP="006953A1">
            <w:pPr>
              <w:spacing w:before="20" w:after="20"/>
              <w:jc w:val="center"/>
              <w:rPr>
                <w:b/>
                <w:sz w:val="16"/>
              </w:rPr>
            </w:pPr>
            <w:r w:rsidRPr="00F9427F">
              <w:rPr>
                <w:b/>
                <w:sz w:val="16"/>
              </w:rPr>
              <w:t>Ano</w:t>
            </w:r>
          </w:p>
        </w:tc>
        <w:tc>
          <w:tcPr>
            <w:tcW w:w="922" w:type="dxa"/>
            <w:shd w:val="clear" w:color="auto" w:fill="D9D9D9"/>
            <w:vAlign w:val="center"/>
          </w:tcPr>
          <w:p w:rsidR="00290981" w:rsidRPr="00F9427F" w:rsidRDefault="00290981" w:rsidP="006953A1">
            <w:pPr>
              <w:spacing w:before="20" w:after="20"/>
              <w:jc w:val="center"/>
              <w:rPr>
                <w:b/>
                <w:sz w:val="16"/>
              </w:rPr>
            </w:pPr>
            <w:r w:rsidRPr="00F9427F">
              <w:rPr>
                <w:b/>
                <w:sz w:val="16"/>
              </w:rPr>
              <w:t>Aferido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90981" w:rsidRPr="00F9427F" w:rsidRDefault="00290981" w:rsidP="006953A1">
            <w:pPr>
              <w:spacing w:before="20" w:after="20"/>
              <w:jc w:val="center"/>
              <w:rPr>
                <w:b/>
                <w:sz w:val="16"/>
              </w:rPr>
            </w:pPr>
            <w:r w:rsidRPr="00F9427F">
              <w:rPr>
                <w:b/>
                <w:sz w:val="16"/>
              </w:rPr>
              <w:t>Ano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90981" w:rsidRPr="00F9427F" w:rsidRDefault="00290981" w:rsidP="006953A1">
            <w:pPr>
              <w:spacing w:before="20" w:after="20"/>
              <w:jc w:val="center"/>
              <w:rPr>
                <w:b/>
                <w:sz w:val="16"/>
              </w:rPr>
            </w:pPr>
            <w:r w:rsidRPr="00F9427F">
              <w:rPr>
                <w:b/>
                <w:sz w:val="16"/>
              </w:rPr>
              <w:t>Desejado</w:t>
            </w:r>
          </w:p>
        </w:tc>
      </w:tr>
      <w:tr w:rsidR="00290981" w:rsidRPr="006777EB" w:rsidTr="006953A1">
        <w:trPr>
          <w:cantSplit/>
        </w:trPr>
        <w:tc>
          <w:tcPr>
            <w:tcW w:w="2694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Índice de arborização de vias</w:t>
            </w:r>
          </w:p>
        </w:tc>
        <w:tc>
          <w:tcPr>
            <w:tcW w:w="198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Urbano</w:t>
            </w:r>
          </w:p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Loteamento</w:t>
            </w:r>
          </w:p>
        </w:tc>
        <w:tc>
          <w:tcPr>
            <w:tcW w:w="5528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Extensão (metros) de vias públicas/nº de árvores em vias públicas</w:t>
            </w:r>
          </w:p>
        </w:tc>
        <w:tc>
          <w:tcPr>
            <w:tcW w:w="92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proofErr w:type="spellStart"/>
            <w:r w:rsidRPr="006777EB">
              <w:rPr>
                <w:sz w:val="18"/>
              </w:rPr>
              <w:t>s.i</w:t>
            </w:r>
            <w:proofErr w:type="spellEnd"/>
            <w:r w:rsidRPr="006777EB">
              <w:rPr>
                <w:sz w:val="18"/>
              </w:rPr>
              <w:t>.</w:t>
            </w:r>
          </w:p>
        </w:tc>
        <w:tc>
          <w:tcPr>
            <w:tcW w:w="922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proofErr w:type="spellStart"/>
            <w:r w:rsidRPr="006777EB">
              <w:rPr>
                <w:sz w:val="18"/>
              </w:rPr>
              <w:t>s.i</w:t>
            </w:r>
            <w:proofErr w:type="spellEnd"/>
            <w:r w:rsidRPr="006777EB">
              <w:rPr>
                <w:sz w:val="18"/>
              </w:rPr>
              <w:t>.</w:t>
            </w:r>
          </w:p>
        </w:tc>
        <w:tc>
          <w:tcPr>
            <w:tcW w:w="85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13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100%</w:t>
            </w:r>
            <w:r>
              <w:rPr>
                <w:sz w:val="18"/>
              </w:rPr>
              <w:t xml:space="preserve"> (</w:t>
            </w:r>
            <w:r w:rsidRPr="00C92988">
              <w:rPr>
                <w:b/>
                <w:sz w:val="18"/>
              </w:rPr>
              <w:t>2</w:t>
            </w:r>
            <w:r>
              <w:rPr>
                <w:sz w:val="18"/>
              </w:rPr>
              <w:t>)</w:t>
            </w:r>
          </w:p>
        </w:tc>
      </w:tr>
      <w:tr w:rsidR="00290981" w:rsidRPr="006777EB" w:rsidTr="006953A1">
        <w:trPr>
          <w:cantSplit/>
          <w:trHeight w:val="240"/>
        </w:trPr>
        <w:tc>
          <w:tcPr>
            <w:tcW w:w="2694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Qualidade da água - IQA</w:t>
            </w:r>
          </w:p>
        </w:tc>
        <w:tc>
          <w:tcPr>
            <w:tcW w:w="198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Município</w:t>
            </w:r>
          </w:p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Bacia Hidrográfica</w:t>
            </w:r>
          </w:p>
        </w:tc>
        <w:tc>
          <w:tcPr>
            <w:tcW w:w="5528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Índice de Qualidade da Água - IQA</w:t>
            </w:r>
          </w:p>
        </w:tc>
        <w:tc>
          <w:tcPr>
            <w:tcW w:w="92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proofErr w:type="spellStart"/>
            <w:r w:rsidRPr="006777EB">
              <w:rPr>
                <w:sz w:val="18"/>
              </w:rPr>
              <w:t>s.i</w:t>
            </w:r>
            <w:proofErr w:type="spellEnd"/>
            <w:r w:rsidRPr="006777EB">
              <w:rPr>
                <w:sz w:val="18"/>
              </w:rPr>
              <w:t>.</w:t>
            </w:r>
          </w:p>
        </w:tc>
        <w:tc>
          <w:tcPr>
            <w:tcW w:w="922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proofErr w:type="spellStart"/>
            <w:r w:rsidRPr="006777EB">
              <w:rPr>
                <w:sz w:val="18"/>
              </w:rPr>
              <w:t>s.i</w:t>
            </w:r>
            <w:proofErr w:type="spellEnd"/>
            <w:r w:rsidRPr="006777EB">
              <w:rPr>
                <w:sz w:val="18"/>
              </w:rPr>
              <w:t>.</w:t>
            </w:r>
          </w:p>
        </w:tc>
        <w:tc>
          <w:tcPr>
            <w:tcW w:w="85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2028</w:t>
            </w:r>
          </w:p>
        </w:tc>
        <w:tc>
          <w:tcPr>
            <w:tcW w:w="113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80/100</w:t>
            </w:r>
          </w:p>
        </w:tc>
      </w:tr>
      <w:tr w:rsidR="00290981" w:rsidRPr="006777EB" w:rsidTr="006953A1">
        <w:trPr>
          <w:cantSplit/>
        </w:trPr>
        <w:tc>
          <w:tcPr>
            <w:tcW w:w="2694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Cobertura de mata ciliar</w:t>
            </w:r>
          </w:p>
        </w:tc>
        <w:tc>
          <w:tcPr>
            <w:tcW w:w="198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Município</w:t>
            </w:r>
          </w:p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Bacia Hidrográfica</w:t>
            </w:r>
          </w:p>
        </w:tc>
        <w:tc>
          <w:tcPr>
            <w:tcW w:w="5528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60 metros x a extensão do curso de água com cobertura vegetal/Extensão total do curso de água x 60 metros.</w:t>
            </w:r>
          </w:p>
        </w:tc>
        <w:tc>
          <w:tcPr>
            <w:tcW w:w="92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 xml:space="preserve">s. i. </w:t>
            </w:r>
          </w:p>
        </w:tc>
        <w:tc>
          <w:tcPr>
            <w:tcW w:w="922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s. i.</w:t>
            </w:r>
          </w:p>
        </w:tc>
        <w:tc>
          <w:tcPr>
            <w:tcW w:w="85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2028</w:t>
            </w:r>
          </w:p>
        </w:tc>
        <w:tc>
          <w:tcPr>
            <w:tcW w:w="113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30% (</w:t>
            </w:r>
            <w:r w:rsidRPr="00C92988">
              <w:rPr>
                <w:b/>
                <w:sz w:val="18"/>
              </w:rPr>
              <w:t>1</w:t>
            </w:r>
            <w:r w:rsidRPr="006777EB">
              <w:rPr>
                <w:sz w:val="18"/>
              </w:rPr>
              <w:t>)</w:t>
            </w:r>
          </w:p>
        </w:tc>
      </w:tr>
      <w:tr w:rsidR="00290981" w:rsidRPr="006777EB" w:rsidTr="006953A1">
        <w:trPr>
          <w:cantSplit/>
        </w:trPr>
        <w:tc>
          <w:tcPr>
            <w:tcW w:w="2694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Áreas de reserva legal</w:t>
            </w:r>
          </w:p>
        </w:tc>
        <w:tc>
          <w:tcPr>
            <w:tcW w:w="198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Município</w:t>
            </w:r>
          </w:p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Bacia Hidrográfica</w:t>
            </w:r>
          </w:p>
        </w:tc>
        <w:tc>
          <w:tcPr>
            <w:tcW w:w="5528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Somatório das áreas de reserva legal obrigatórias pelo Código Florestal / Somatório das áreas rurais existentes no Município.</w:t>
            </w:r>
          </w:p>
        </w:tc>
        <w:tc>
          <w:tcPr>
            <w:tcW w:w="92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s. i.</w:t>
            </w:r>
          </w:p>
        </w:tc>
        <w:tc>
          <w:tcPr>
            <w:tcW w:w="922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s. i.</w:t>
            </w:r>
          </w:p>
        </w:tc>
        <w:tc>
          <w:tcPr>
            <w:tcW w:w="85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2028</w:t>
            </w:r>
          </w:p>
        </w:tc>
        <w:tc>
          <w:tcPr>
            <w:tcW w:w="113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100 %</w:t>
            </w:r>
          </w:p>
        </w:tc>
      </w:tr>
      <w:tr w:rsidR="00290981" w:rsidRPr="006777EB" w:rsidTr="006953A1">
        <w:trPr>
          <w:cantSplit/>
        </w:trPr>
        <w:tc>
          <w:tcPr>
            <w:tcW w:w="2694" w:type="dxa"/>
            <w:vAlign w:val="center"/>
          </w:tcPr>
          <w:p w:rsidR="00290981" w:rsidRPr="006777EB" w:rsidRDefault="00290981" w:rsidP="006953A1">
            <w:pPr>
              <w:spacing w:before="20" w:after="20"/>
              <w:rPr>
                <w:sz w:val="18"/>
              </w:rPr>
            </w:pPr>
            <w:r w:rsidRPr="006777EB">
              <w:rPr>
                <w:sz w:val="18"/>
              </w:rPr>
              <w:t>Áreas de preservação permanente</w:t>
            </w:r>
          </w:p>
        </w:tc>
        <w:tc>
          <w:tcPr>
            <w:tcW w:w="198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Município</w:t>
            </w:r>
          </w:p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Bacia Hidrográfica</w:t>
            </w:r>
          </w:p>
        </w:tc>
        <w:tc>
          <w:tcPr>
            <w:tcW w:w="5528" w:type="dxa"/>
            <w:vAlign w:val="center"/>
          </w:tcPr>
          <w:p w:rsidR="00290981" w:rsidRPr="006777EB" w:rsidRDefault="00290981" w:rsidP="006953A1">
            <w:pPr>
              <w:spacing w:before="20" w:after="20"/>
              <w:jc w:val="both"/>
              <w:rPr>
                <w:sz w:val="18"/>
              </w:rPr>
            </w:pPr>
            <w:r w:rsidRPr="006777EB">
              <w:rPr>
                <w:sz w:val="18"/>
              </w:rPr>
              <w:t>Somatório das áreas de preservação permanente obrigat</w:t>
            </w:r>
            <w:r>
              <w:rPr>
                <w:sz w:val="18"/>
              </w:rPr>
              <w:t>órias por Resolução do Conama</w:t>
            </w:r>
          </w:p>
        </w:tc>
        <w:tc>
          <w:tcPr>
            <w:tcW w:w="92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s. i.</w:t>
            </w:r>
          </w:p>
        </w:tc>
        <w:tc>
          <w:tcPr>
            <w:tcW w:w="922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s. i.</w:t>
            </w:r>
          </w:p>
        </w:tc>
        <w:tc>
          <w:tcPr>
            <w:tcW w:w="851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2028</w:t>
            </w:r>
          </w:p>
        </w:tc>
        <w:tc>
          <w:tcPr>
            <w:tcW w:w="1134" w:type="dxa"/>
            <w:vAlign w:val="center"/>
          </w:tcPr>
          <w:p w:rsidR="00290981" w:rsidRPr="006777EB" w:rsidRDefault="00290981" w:rsidP="006953A1">
            <w:pPr>
              <w:spacing w:before="20" w:after="20"/>
              <w:jc w:val="center"/>
              <w:rPr>
                <w:sz w:val="18"/>
              </w:rPr>
            </w:pPr>
            <w:r w:rsidRPr="006777EB">
              <w:rPr>
                <w:sz w:val="18"/>
              </w:rPr>
              <w:t>100 %</w:t>
            </w:r>
          </w:p>
        </w:tc>
      </w:tr>
    </w:tbl>
    <w:p w:rsidR="00290981" w:rsidRPr="006777EB" w:rsidRDefault="00290981" w:rsidP="00290981">
      <w:pPr>
        <w:spacing w:before="60"/>
        <w:jc w:val="both"/>
        <w:rPr>
          <w:sz w:val="18"/>
        </w:rPr>
      </w:pPr>
    </w:p>
    <w:p w:rsidR="00290981" w:rsidRPr="006777EB" w:rsidRDefault="00290981" w:rsidP="003E3F0A">
      <w:pPr>
        <w:numPr>
          <w:ilvl w:val="0"/>
          <w:numId w:val="1"/>
        </w:numPr>
        <w:spacing w:before="60"/>
        <w:jc w:val="both"/>
        <w:rPr>
          <w:sz w:val="16"/>
        </w:rPr>
      </w:pPr>
      <w:r w:rsidRPr="006777EB">
        <w:rPr>
          <w:sz w:val="16"/>
        </w:rPr>
        <w:t xml:space="preserve">Desconhece-se a extensão total dos cursos de água do Município. </w:t>
      </w:r>
    </w:p>
    <w:p w:rsidR="00290981" w:rsidRPr="006777EB" w:rsidRDefault="00290981" w:rsidP="003E3F0A">
      <w:pPr>
        <w:numPr>
          <w:ilvl w:val="0"/>
          <w:numId w:val="1"/>
        </w:numPr>
        <w:spacing w:before="60"/>
        <w:jc w:val="both"/>
        <w:rPr>
          <w:sz w:val="16"/>
        </w:rPr>
      </w:pPr>
      <w:r w:rsidRPr="006777EB">
        <w:rPr>
          <w:sz w:val="16"/>
        </w:rPr>
        <w:t>Valor de referência = 0,2 unidades por metro linear de via</w:t>
      </w:r>
    </w:p>
    <w:bookmarkEnd w:id="2"/>
    <w:p w:rsidR="00290981" w:rsidRDefault="00290981" w:rsidP="00290981">
      <w:pPr>
        <w:pStyle w:val="Corpodetexto"/>
        <w:rPr>
          <w:b w:val="0"/>
        </w:rPr>
      </w:pPr>
    </w:p>
    <w:p w:rsidR="00290981" w:rsidRPr="00D817FD" w:rsidRDefault="00290981" w:rsidP="00290981">
      <w:pPr>
        <w:pStyle w:val="Pargrafos"/>
        <w:rPr>
          <w:color w:val="FF0000"/>
        </w:rPr>
      </w:pPr>
    </w:p>
    <w:p w:rsidR="00290981" w:rsidRPr="00D817FD" w:rsidRDefault="00290981" w:rsidP="00290981">
      <w:pPr>
        <w:pStyle w:val="Pargrafos"/>
        <w:rPr>
          <w:color w:val="FF0000"/>
        </w:rPr>
        <w:sectPr w:rsidR="00290981" w:rsidRPr="00D817FD" w:rsidSect="007857F5">
          <w:pgSz w:w="16838" w:h="11906" w:orient="landscape" w:code="9"/>
          <w:pgMar w:top="1134" w:right="1134" w:bottom="1701" w:left="1701" w:header="851" w:footer="851" w:gutter="0"/>
          <w:cols w:space="708"/>
          <w:docGrid w:linePitch="360"/>
        </w:sectPr>
      </w:pPr>
    </w:p>
    <w:p w:rsidR="00290981" w:rsidRPr="00D643CF" w:rsidRDefault="00290981" w:rsidP="00290981">
      <w:pPr>
        <w:pStyle w:val="Legenda"/>
      </w:pPr>
      <w:r w:rsidRPr="00D643CF">
        <w:lastRenderedPageBreak/>
        <w:t>TABELA IC 0</w:t>
      </w:r>
      <w:r>
        <w:t>3 – CAMBÉ,</w:t>
      </w:r>
      <w:r w:rsidRPr="00D643CF">
        <w:t xml:space="preserve"> </w:t>
      </w:r>
      <w:r>
        <w:t>microrregião de londrina E PARANÁ</w:t>
      </w:r>
    </w:p>
    <w:p w:rsidR="00290981" w:rsidRPr="00D643CF" w:rsidRDefault="00290981" w:rsidP="00290981">
      <w:pPr>
        <w:pStyle w:val="Legenda"/>
      </w:pPr>
      <w:r w:rsidRPr="00D643CF">
        <w:t>ÍNDICES DE DESENVO</w:t>
      </w:r>
      <w:bookmarkStart w:id="3" w:name="_GoBack"/>
      <w:bookmarkEnd w:id="3"/>
      <w:r w:rsidRPr="00D643CF">
        <w:t>LV</w:t>
      </w:r>
      <w:r>
        <w:t xml:space="preserve">IMENTO HUMANO MUNICIPAL – </w:t>
      </w:r>
      <w:proofErr w:type="gramStart"/>
      <w:r>
        <w:t xml:space="preserve">IDHM  </w:t>
      </w:r>
      <w:r w:rsidRPr="00D643CF">
        <w:t>–</w:t>
      </w:r>
      <w:proofErr w:type="gramEnd"/>
      <w:r>
        <w:t xml:space="preserve"> </w:t>
      </w:r>
      <w:r w:rsidRPr="00D643CF">
        <w:t xml:space="preserve">índice ipardes de desempenho municipal </w:t>
      </w:r>
      <w:r>
        <w:t xml:space="preserve">– </w:t>
      </w:r>
      <w:r w:rsidRPr="00222451">
        <w:t>IPDM</w:t>
      </w:r>
    </w:p>
    <w:tbl>
      <w:tblPr>
        <w:tblW w:w="1176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1032"/>
        <w:gridCol w:w="991"/>
        <w:gridCol w:w="992"/>
        <w:gridCol w:w="992"/>
        <w:gridCol w:w="992"/>
        <w:gridCol w:w="992"/>
        <w:gridCol w:w="992"/>
        <w:gridCol w:w="992"/>
      </w:tblGrid>
      <w:tr w:rsidR="00290981" w:rsidRPr="003468AE" w:rsidTr="006953A1">
        <w:trPr>
          <w:cantSplit/>
          <w:trHeight w:val="1749"/>
        </w:trPr>
        <w:tc>
          <w:tcPr>
            <w:tcW w:w="3791" w:type="dxa"/>
            <w:shd w:val="clear" w:color="auto" w:fill="BFBFBF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3468AE">
              <w:rPr>
                <w:b/>
              </w:rPr>
              <w:t>ÍNDICE</w:t>
            </w:r>
          </w:p>
        </w:tc>
        <w:tc>
          <w:tcPr>
            <w:tcW w:w="1032" w:type="dxa"/>
            <w:shd w:val="clear" w:color="auto" w:fill="BFBFBF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3468AE">
              <w:rPr>
                <w:b/>
              </w:rPr>
              <w:t>ANO</w:t>
            </w:r>
          </w:p>
        </w:tc>
        <w:tc>
          <w:tcPr>
            <w:tcW w:w="991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b/>
                <w:szCs w:val="18"/>
              </w:rPr>
              <w:t>PARANÁ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b/>
                <w:szCs w:val="18"/>
              </w:rPr>
              <w:t>CAMBÉ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992" w:type="dxa"/>
            <w:shd w:val="clear" w:color="auto" w:fill="BFBFBF"/>
            <w:textDirection w:val="btLr"/>
            <w:vAlign w:val="center"/>
          </w:tcPr>
          <w:p w:rsidR="00290981" w:rsidRPr="003468A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3468AE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Índice de Desenvolvimento Humano Municipal (IDH-M)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1991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0,517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0,497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0,513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0,588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0,409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0,537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0,360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0,650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0,661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0,640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0,608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0,659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0,504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0,749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0,734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0,778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0,739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0,621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Índice de Desenvolvimento Humano Municipal - Longevidade (IDHM-L)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1991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0,679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0,704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0,691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0,697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0,689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0,747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0,798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0,737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0,796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0,788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0,738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0,830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0,840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0,837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0,842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0,829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Índice de Desenvolvimento Humano Municipal – Educação</w:t>
            </w:r>
            <w:r>
              <w:rPr>
                <w:sz w:val="16"/>
                <w:szCs w:val="16"/>
              </w:rPr>
              <w:t xml:space="preserve"> </w:t>
            </w:r>
            <w:r w:rsidRPr="00761DA8">
              <w:rPr>
                <w:sz w:val="16"/>
                <w:szCs w:val="16"/>
              </w:rPr>
              <w:t>(IDHM-E)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1991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0,298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0,287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0,302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0,398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0,196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0,346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0,119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0,522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0,538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0,522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0,612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0,464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0,562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0,291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0,668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0,651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0,647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0,634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0,661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0,460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Índice de Desenvolvimento Humano Municipal - Renda (IDHM-R)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1991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0,644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0,607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0,614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0,706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0,506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0,642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0,569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0,704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0,673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0,680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0,753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0,616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0,705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0,597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2010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0,757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0,789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0,670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0,744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0,628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Índice IPARDES de Desempenho Municipal (IPDM)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2007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0,7149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0,7137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0,8025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0,7121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0,7669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0,6343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2014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0,7538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0,7730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0,8337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0,7469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0,7887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0,6258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bookmarkStart w:id="4" w:name="_Hlk508638494"/>
            <w:r w:rsidRPr="00761DA8">
              <w:rPr>
                <w:sz w:val="16"/>
                <w:szCs w:val="16"/>
              </w:rPr>
              <w:t xml:space="preserve">IPDM </w:t>
            </w:r>
            <w:bookmarkEnd w:id="4"/>
            <w:r w:rsidRPr="00761DA8">
              <w:rPr>
                <w:sz w:val="16"/>
                <w:szCs w:val="16"/>
              </w:rPr>
              <w:t>relativo à saúde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2007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0,883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0,8763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0,8903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0,8095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0,8907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0,7940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2014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0,8848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0,8750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0,8760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0,8792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0,8598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0,8221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IPDM relativo à educação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2007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0,6962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0,7361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0,7542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0,8282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0,7274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0,6436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2014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0,7433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0,8239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0,8085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0,8510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0,8059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0,5483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 w:val="restart"/>
            <w:vAlign w:val="center"/>
          </w:tcPr>
          <w:p w:rsidR="00290981" w:rsidRPr="00761DA8" w:rsidRDefault="00290981" w:rsidP="006953A1">
            <w:pPr>
              <w:pStyle w:val="Dadostabelas0"/>
              <w:jc w:val="left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IPDM relativo à renda, emprego e produção agropecuária</w:t>
            </w: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2007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0,5603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0,5286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0,7630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0,4985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0,6826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0,4654</w:t>
            </w:r>
          </w:p>
        </w:tc>
      </w:tr>
      <w:tr w:rsidR="00290981" w:rsidRPr="003468AE" w:rsidTr="006953A1">
        <w:trPr>
          <w:trHeight w:val="239"/>
        </w:trPr>
        <w:tc>
          <w:tcPr>
            <w:tcW w:w="3791" w:type="dxa"/>
            <w:vMerge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2014</w:t>
            </w:r>
          </w:p>
        </w:tc>
        <w:tc>
          <w:tcPr>
            <w:tcW w:w="991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0,6332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0,6201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0,8166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0,5103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0,7003</w:t>
            </w:r>
          </w:p>
        </w:tc>
        <w:tc>
          <w:tcPr>
            <w:tcW w:w="992" w:type="dxa"/>
            <w:vAlign w:val="center"/>
          </w:tcPr>
          <w:p w:rsidR="00290981" w:rsidRPr="00761DA8" w:rsidRDefault="00290981" w:rsidP="006953A1">
            <w:pPr>
              <w:pStyle w:val="Dadostabelas0"/>
              <w:rPr>
                <w:sz w:val="16"/>
                <w:szCs w:val="16"/>
              </w:rPr>
            </w:pPr>
            <w:r w:rsidRPr="00761DA8">
              <w:rPr>
                <w:sz w:val="16"/>
                <w:szCs w:val="16"/>
              </w:rPr>
              <w:t>0,5069</w:t>
            </w:r>
          </w:p>
        </w:tc>
      </w:tr>
    </w:tbl>
    <w:p w:rsidR="00290981" w:rsidRPr="008B175A" w:rsidRDefault="00290981" w:rsidP="00290981">
      <w:pPr>
        <w:pStyle w:val="Fonte"/>
        <w:ind w:firstLine="2694"/>
      </w:pPr>
      <w:r>
        <w:t>Fonte</w:t>
      </w:r>
      <w:r w:rsidRPr="008B175A">
        <w:t>: Atlas de Desenvolvimento Humano do Brasil / IPARDES</w:t>
      </w:r>
    </w:p>
    <w:p w:rsidR="00290981" w:rsidRPr="00EC6079" w:rsidRDefault="00290981" w:rsidP="00290981">
      <w:pPr>
        <w:pStyle w:val="Legenda"/>
        <w:rPr>
          <w:b w:val="0"/>
        </w:rPr>
      </w:pPr>
      <w:r w:rsidRPr="00D817FD">
        <w:rPr>
          <w:color w:val="FF0000"/>
        </w:rPr>
        <w:br w:type="page"/>
      </w: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EC6079" w:rsidRDefault="00290981" w:rsidP="00290981">
      <w:pPr>
        <w:pStyle w:val="Legenda"/>
        <w:rPr>
          <w:b w:val="0"/>
        </w:rPr>
      </w:pPr>
    </w:p>
    <w:p w:rsidR="00290981" w:rsidRPr="00BA0464" w:rsidRDefault="00290981" w:rsidP="00290981">
      <w:pPr>
        <w:pStyle w:val="Legenda"/>
      </w:pPr>
      <w:r w:rsidRPr="00BA0464">
        <w:t>TABELA IC 0</w:t>
      </w:r>
      <w:r>
        <w:t>4</w:t>
      </w:r>
      <w:r w:rsidRPr="00BA0464">
        <w:t xml:space="preserve"> – CAMBÉ, </w:t>
      </w:r>
      <w:r w:rsidRPr="006848FE">
        <w:t xml:space="preserve">MICRORREGIÃO DE LONDRINA </w:t>
      </w:r>
      <w:r w:rsidRPr="00BA0464">
        <w:t>e PARANÁ</w:t>
      </w:r>
    </w:p>
    <w:p w:rsidR="00290981" w:rsidRPr="00BA0464" w:rsidRDefault="00290981" w:rsidP="00290981">
      <w:pPr>
        <w:pStyle w:val="Legenda"/>
      </w:pPr>
      <w:r w:rsidRPr="00BA0464">
        <w:t>ÍNDICES DE DESENVOLVIMENTO – POPULAÇÃO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964"/>
        <w:gridCol w:w="1098"/>
        <w:gridCol w:w="682"/>
        <w:gridCol w:w="1217"/>
        <w:gridCol w:w="832"/>
        <w:gridCol w:w="831"/>
        <w:gridCol w:w="832"/>
        <w:gridCol w:w="832"/>
        <w:gridCol w:w="831"/>
        <w:gridCol w:w="832"/>
      </w:tblGrid>
      <w:tr w:rsidR="00290981" w:rsidRPr="00BA0464" w:rsidTr="006953A1">
        <w:trPr>
          <w:cantSplit/>
          <w:trHeight w:val="1644"/>
          <w:jc w:val="center"/>
        </w:trPr>
        <w:tc>
          <w:tcPr>
            <w:tcW w:w="2227" w:type="dxa"/>
            <w:gridSpan w:val="2"/>
            <w:shd w:val="clear" w:color="auto" w:fill="BFBFBF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b/>
                <w:sz w:val="16"/>
                <w:szCs w:val="16"/>
              </w:rPr>
            </w:pPr>
            <w:r w:rsidRPr="00BA0464">
              <w:rPr>
                <w:b/>
                <w:sz w:val="16"/>
                <w:szCs w:val="16"/>
              </w:rPr>
              <w:t>ÍNDICE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b/>
                <w:sz w:val="16"/>
                <w:szCs w:val="16"/>
              </w:rPr>
            </w:pPr>
            <w:r w:rsidRPr="00BA0464">
              <w:rPr>
                <w:b/>
                <w:sz w:val="16"/>
                <w:szCs w:val="16"/>
              </w:rPr>
              <w:t>ANO</w:t>
            </w:r>
          </w:p>
        </w:tc>
        <w:tc>
          <w:tcPr>
            <w:tcW w:w="682" w:type="dxa"/>
            <w:shd w:val="clear" w:color="auto" w:fill="BFBFBF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b/>
                <w:sz w:val="16"/>
                <w:szCs w:val="16"/>
              </w:rPr>
            </w:pPr>
            <w:r w:rsidRPr="00BA0464"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217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b/>
                <w:szCs w:val="18"/>
              </w:rPr>
              <w:t>PARANÁ</w:t>
            </w:r>
          </w:p>
        </w:tc>
        <w:tc>
          <w:tcPr>
            <w:tcW w:w="832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b/>
                <w:szCs w:val="18"/>
              </w:rPr>
              <w:t>CAMBÉ</w:t>
            </w:r>
          </w:p>
        </w:tc>
        <w:tc>
          <w:tcPr>
            <w:tcW w:w="831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832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832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831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832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 w:val="restart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População Total</w:t>
            </w: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1991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8.448.713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73.842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35.168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390.100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43.776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9.563.458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88.136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42.153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447.065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2.418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49.410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9.713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10.444.526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96.733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48.198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506.701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2.814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57.862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12.262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 w:val="restart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População Urbana</w:t>
            </w: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1991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6.197.953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66.817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30.728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366.676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35.276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7.786.084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81.942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39.141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433.369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1.641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44.650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4.719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  <w:highlight w:val="yellow"/>
              </w:rPr>
            </w:pPr>
            <w:r w:rsidRPr="00EF3540">
              <w:rPr>
                <w:rFonts w:eastAsia="Arial" w:cs="Arial"/>
                <w:sz w:val="16"/>
              </w:rPr>
              <w:t>8.912.612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92.952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45.895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493.520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2.040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54.749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5.858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 w:val="restart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População Rural</w:t>
            </w: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1991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2.250.760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7.025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4.440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23.424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8.500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1.777.374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6.244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3.012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13.696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777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4.760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3.113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hab.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1.531.834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3.781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2.303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13.181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774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3.113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6.404</w:t>
            </w:r>
          </w:p>
        </w:tc>
      </w:tr>
      <w:tr w:rsidR="00290981" w:rsidRPr="00BA0464" w:rsidTr="006953A1">
        <w:trPr>
          <w:jc w:val="center"/>
        </w:trPr>
        <w:tc>
          <w:tcPr>
            <w:tcW w:w="1263" w:type="dxa"/>
            <w:vMerge w:val="restart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Taxa de crescimento populacional</w:t>
            </w:r>
          </w:p>
        </w:tc>
        <w:tc>
          <w:tcPr>
            <w:tcW w:w="964" w:type="dxa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2000-2010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% a.a.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0,89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0,93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1,35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1,26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1,53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1,59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2,36</w:t>
            </w:r>
          </w:p>
        </w:tc>
      </w:tr>
      <w:tr w:rsidR="00290981" w:rsidRPr="00BA0464" w:rsidTr="006953A1">
        <w:trPr>
          <w:jc w:val="center"/>
        </w:trPr>
        <w:tc>
          <w:tcPr>
            <w:tcW w:w="1263" w:type="dxa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urbana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2000-2010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% a.a.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1,36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1,27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1,60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1,31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2,20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2,06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2,19</w:t>
            </w:r>
          </w:p>
        </w:tc>
      </w:tr>
      <w:tr w:rsidR="00290981" w:rsidRPr="00BA0464" w:rsidTr="006953A1">
        <w:trPr>
          <w:jc w:val="center"/>
        </w:trPr>
        <w:tc>
          <w:tcPr>
            <w:tcW w:w="1263" w:type="dxa"/>
            <w:vMerge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rural</w:t>
            </w:r>
          </w:p>
        </w:tc>
        <w:tc>
          <w:tcPr>
            <w:tcW w:w="1098" w:type="dxa"/>
            <w:tcMar>
              <w:left w:w="28" w:type="dxa"/>
              <w:right w:w="28" w:type="dxa"/>
            </w:tcMar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2000-2010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% a.a.</w:t>
            </w:r>
          </w:p>
        </w:tc>
        <w:tc>
          <w:tcPr>
            <w:tcW w:w="1217" w:type="dxa"/>
          </w:tcPr>
          <w:p w:rsidR="00290981" w:rsidRPr="00BA0464" w:rsidRDefault="00290981" w:rsidP="006953A1">
            <w:pPr>
              <w:jc w:val="center"/>
              <w:rPr>
                <w:rFonts w:eastAsia="Arial" w:cs="Arial"/>
                <w:sz w:val="16"/>
              </w:rPr>
            </w:pPr>
            <w:r w:rsidRPr="00BA0464">
              <w:rPr>
                <w:rFonts w:eastAsia="Arial" w:cs="Arial"/>
                <w:sz w:val="16"/>
              </w:rPr>
              <w:t>-1,48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-4,89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-2,65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-0,38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-0,04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-4,16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2,52</w:t>
            </w:r>
          </w:p>
        </w:tc>
      </w:tr>
      <w:tr w:rsidR="00290981" w:rsidRPr="00BA0464" w:rsidTr="006953A1">
        <w:trPr>
          <w:jc w:val="center"/>
        </w:trPr>
        <w:tc>
          <w:tcPr>
            <w:tcW w:w="2227" w:type="dxa"/>
            <w:gridSpan w:val="2"/>
            <w:vAlign w:val="center"/>
          </w:tcPr>
          <w:p w:rsidR="00290981" w:rsidRPr="00A438E2" w:rsidRDefault="00290981" w:rsidP="006953A1">
            <w:pPr>
              <w:pStyle w:val="Dadostabelas0"/>
              <w:spacing w:before="20" w:after="20"/>
              <w:jc w:val="left"/>
              <w:rPr>
                <w:b/>
                <w:sz w:val="16"/>
                <w:szCs w:val="16"/>
              </w:rPr>
            </w:pPr>
            <w:r w:rsidRPr="00A438E2">
              <w:rPr>
                <w:b/>
                <w:sz w:val="16"/>
                <w:szCs w:val="16"/>
              </w:rPr>
              <w:t>Grau de urbanização</w:t>
            </w:r>
          </w:p>
        </w:tc>
        <w:tc>
          <w:tcPr>
            <w:tcW w:w="1098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2010</w:t>
            </w:r>
          </w:p>
        </w:tc>
        <w:tc>
          <w:tcPr>
            <w:tcW w:w="682" w:type="dxa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rPr>
                <w:sz w:val="16"/>
                <w:szCs w:val="16"/>
              </w:rPr>
            </w:pPr>
            <w:r w:rsidRPr="00BA0464">
              <w:rPr>
                <w:sz w:val="16"/>
                <w:szCs w:val="16"/>
              </w:rPr>
              <w:t>%</w:t>
            </w:r>
          </w:p>
        </w:tc>
        <w:tc>
          <w:tcPr>
            <w:tcW w:w="1217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eastAsia="Arial" w:cs="Arial"/>
                <w:sz w:val="16"/>
              </w:rPr>
              <w:t>85,33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96,09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95,22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97,40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72,49</w:t>
            </w:r>
          </w:p>
        </w:tc>
        <w:tc>
          <w:tcPr>
            <w:tcW w:w="831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94,62</w:t>
            </w:r>
          </w:p>
        </w:tc>
        <w:tc>
          <w:tcPr>
            <w:tcW w:w="832" w:type="dxa"/>
            <w:vAlign w:val="center"/>
          </w:tcPr>
          <w:p w:rsidR="00290981" w:rsidRPr="00BA0464" w:rsidRDefault="00290981" w:rsidP="006953A1">
            <w:pPr>
              <w:jc w:val="center"/>
              <w:rPr>
                <w:rFonts w:cs="Arial"/>
                <w:sz w:val="16"/>
                <w:szCs w:val="16"/>
              </w:rPr>
            </w:pPr>
            <w:r w:rsidRPr="00BA0464">
              <w:rPr>
                <w:rFonts w:cs="Arial"/>
                <w:sz w:val="16"/>
                <w:szCs w:val="16"/>
              </w:rPr>
              <w:t>47,77</w:t>
            </w:r>
          </w:p>
        </w:tc>
      </w:tr>
    </w:tbl>
    <w:p w:rsidR="00290981" w:rsidRPr="00BA0464" w:rsidRDefault="00290981" w:rsidP="00290981">
      <w:pPr>
        <w:pStyle w:val="Fonte"/>
        <w:ind w:firstLine="2835"/>
      </w:pPr>
      <w:r w:rsidRPr="00BA0464">
        <w:t>Fonte: IBGE. Censos Demográficos 1991,  2000 e 2010/ IPARDES</w:t>
      </w:r>
    </w:p>
    <w:p w:rsidR="00290981" w:rsidRDefault="00290981" w:rsidP="00290981">
      <w:pPr>
        <w:pStyle w:val="Fonte"/>
        <w:ind w:left="-285"/>
        <w:rPr>
          <w:color w:val="FF0000"/>
        </w:rPr>
      </w:pPr>
      <w:r w:rsidRPr="00D817FD">
        <w:rPr>
          <w:color w:val="FF0000"/>
        </w:rPr>
        <w:br w:type="page"/>
      </w:r>
      <w:r w:rsidRPr="00D817FD">
        <w:rPr>
          <w:color w:val="FF0000"/>
        </w:rPr>
        <w:lastRenderedPageBreak/>
        <w:t xml:space="preserve"> </w:t>
      </w: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EC6079" w:rsidRDefault="00290981" w:rsidP="00290981">
      <w:pPr>
        <w:pStyle w:val="Fonte"/>
        <w:ind w:left="-285"/>
      </w:pPr>
    </w:p>
    <w:p w:rsidR="00290981" w:rsidRPr="008D346E" w:rsidRDefault="00290981" w:rsidP="00290981">
      <w:pPr>
        <w:pStyle w:val="Legenda"/>
      </w:pPr>
      <w:r w:rsidRPr="008D346E">
        <w:t>TABELA IC 0</w:t>
      </w:r>
      <w:r>
        <w:t xml:space="preserve">5 – CAMBÉ </w:t>
      </w:r>
      <w:r w:rsidRPr="008D346E">
        <w:t>e PARANÁ</w:t>
      </w:r>
    </w:p>
    <w:p w:rsidR="00290981" w:rsidRPr="008D346E" w:rsidRDefault="00290981" w:rsidP="00290981">
      <w:pPr>
        <w:pStyle w:val="Legenda"/>
      </w:pPr>
      <w:r>
        <w:t xml:space="preserve">ÍNDICES DE DESENVOLVIMENTO </w:t>
      </w:r>
      <w:r w:rsidRPr="008D346E">
        <w:t>E ECONOMIAS MUNICIPAIS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126"/>
        <w:gridCol w:w="993"/>
        <w:gridCol w:w="992"/>
        <w:gridCol w:w="1479"/>
        <w:gridCol w:w="1621"/>
        <w:gridCol w:w="6"/>
      </w:tblGrid>
      <w:tr w:rsidR="00290981" w:rsidRPr="008D346E" w:rsidTr="006953A1">
        <w:trPr>
          <w:trHeight w:val="1471"/>
          <w:jc w:val="center"/>
        </w:trPr>
        <w:tc>
          <w:tcPr>
            <w:tcW w:w="4733" w:type="dxa"/>
            <w:gridSpan w:val="2"/>
            <w:shd w:val="clear" w:color="auto" w:fill="BFBFBF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8D346E">
              <w:rPr>
                <w:b/>
              </w:rPr>
              <w:t>ÍNDICE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8D346E">
              <w:rPr>
                <w:b/>
              </w:rPr>
              <w:t>ANO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8D346E">
              <w:rPr>
                <w:b/>
              </w:rPr>
              <w:t>UNID.</w:t>
            </w:r>
          </w:p>
        </w:tc>
        <w:tc>
          <w:tcPr>
            <w:tcW w:w="1479" w:type="dxa"/>
            <w:shd w:val="clear" w:color="auto" w:fill="BFBFBF"/>
            <w:textDirection w:val="btLr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8D346E">
              <w:rPr>
                <w:b/>
              </w:rPr>
              <w:t>CAMBÉ</w:t>
            </w:r>
          </w:p>
        </w:tc>
        <w:tc>
          <w:tcPr>
            <w:tcW w:w="1627" w:type="dxa"/>
            <w:gridSpan w:val="2"/>
            <w:shd w:val="clear" w:color="auto" w:fill="BFBFBF"/>
            <w:textDirection w:val="btLr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8D346E">
              <w:rPr>
                <w:b/>
              </w:rPr>
              <w:t>PARANÁ</w:t>
            </w:r>
          </w:p>
        </w:tc>
      </w:tr>
      <w:tr w:rsidR="00290981" w:rsidRPr="008D346E" w:rsidTr="006953A1">
        <w:trPr>
          <w:jc w:val="center"/>
        </w:trPr>
        <w:tc>
          <w:tcPr>
            <w:tcW w:w="2607" w:type="dxa"/>
            <w:vMerge w:val="restart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Valor Adicionado Fiscal (participação no Estado)</w:t>
            </w:r>
          </w:p>
        </w:tc>
        <w:tc>
          <w:tcPr>
            <w:tcW w:w="2126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setor primário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2016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%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0,39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100</w:t>
            </w:r>
          </w:p>
        </w:tc>
      </w:tr>
      <w:tr w:rsidR="00290981" w:rsidRPr="008D346E" w:rsidTr="006953A1">
        <w:trPr>
          <w:jc w:val="center"/>
        </w:trPr>
        <w:tc>
          <w:tcPr>
            <w:tcW w:w="2607" w:type="dxa"/>
            <w:vMerge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2126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setor secundário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2016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%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0,95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100</w:t>
            </w:r>
          </w:p>
        </w:tc>
      </w:tr>
      <w:tr w:rsidR="00290981" w:rsidRPr="008D346E" w:rsidTr="006953A1">
        <w:trPr>
          <w:gridAfter w:val="1"/>
          <w:wAfter w:w="6" w:type="dxa"/>
          <w:jc w:val="center"/>
        </w:trPr>
        <w:tc>
          <w:tcPr>
            <w:tcW w:w="2607" w:type="dxa"/>
            <w:vMerge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2126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setor terciário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2016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%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0,88</w:t>
            </w:r>
          </w:p>
        </w:tc>
        <w:tc>
          <w:tcPr>
            <w:tcW w:w="1621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100</w:t>
            </w:r>
          </w:p>
        </w:tc>
      </w:tr>
      <w:tr w:rsidR="00290981" w:rsidRPr="008D346E" w:rsidTr="006953A1">
        <w:trPr>
          <w:gridAfter w:val="1"/>
          <w:wAfter w:w="6" w:type="dxa"/>
          <w:jc w:val="center"/>
        </w:trPr>
        <w:tc>
          <w:tcPr>
            <w:tcW w:w="2607" w:type="dxa"/>
            <w:vMerge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2126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total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2016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%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rPr>
                <w:rFonts w:ascii="Verdana" w:hAnsi="Verdana" w:cs="Arial"/>
                <w:sz w:val="16"/>
                <w:szCs w:val="16"/>
              </w:rPr>
            </w:pPr>
            <w:r w:rsidRPr="008D346E">
              <w:rPr>
                <w:rFonts w:ascii="Verdana" w:hAnsi="Verdana" w:cs="Arial"/>
                <w:sz w:val="16"/>
                <w:szCs w:val="16"/>
              </w:rPr>
              <w:t>0,80</w:t>
            </w:r>
          </w:p>
        </w:tc>
        <w:tc>
          <w:tcPr>
            <w:tcW w:w="1621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100</w:t>
            </w:r>
          </w:p>
        </w:tc>
      </w:tr>
      <w:tr w:rsidR="00290981" w:rsidRPr="008D346E" w:rsidTr="006953A1">
        <w:trPr>
          <w:jc w:val="center"/>
        </w:trPr>
        <w:tc>
          <w:tcPr>
            <w:tcW w:w="4733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 xml:space="preserve">PIB </w:t>
            </w:r>
            <w:r w:rsidRPr="008D346E">
              <w:rPr>
                <w:i/>
              </w:rPr>
              <w:t>per capita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R$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18.265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21.562</w:t>
            </w:r>
          </w:p>
        </w:tc>
      </w:tr>
      <w:tr w:rsidR="00290981" w:rsidRPr="008D346E" w:rsidTr="006953A1">
        <w:trPr>
          <w:jc w:val="center"/>
        </w:trPr>
        <w:tc>
          <w:tcPr>
            <w:tcW w:w="4733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 xml:space="preserve">Renda </w:t>
            </w:r>
            <w:r w:rsidRPr="008D346E">
              <w:rPr>
                <w:i/>
              </w:rPr>
              <w:t>per capita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R$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706,19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870,59</w:t>
            </w:r>
          </w:p>
        </w:tc>
      </w:tr>
      <w:tr w:rsidR="00290981" w:rsidRPr="008D346E" w:rsidTr="006953A1">
        <w:trPr>
          <w:jc w:val="center"/>
        </w:trPr>
        <w:tc>
          <w:tcPr>
            <w:tcW w:w="4733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 xml:space="preserve">Desigualdade de renda – Índice de </w:t>
            </w:r>
            <w:proofErr w:type="spellStart"/>
            <w:r w:rsidRPr="008D346E">
              <w:t>Gini</w:t>
            </w:r>
            <w:proofErr w:type="spellEnd"/>
            <w:r w:rsidRPr="008D346E">
              <w:t xml:space="preserve"> (1)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índice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0,42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0,53</w:t>
            </w:r>
          </w:p>
        </w:tc>
      </w:tr>
      <w:tr w:rsidR="00290981" w:rsidRPr="008D346E" w:rsidTr="006953A1">
        <w:trPr>
          <w:jc w:val="center"/>
        </w:trPr>
        <w:tc>
          <w:tcPr>
            <w:tcW w:w="4733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Índice de renda (IDHM-R)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índice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0,724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0,757</w:t>
            </w:r>
          </w:p>
        </w:tc>
      </w:tr>
      <w:tr w:rsidR="00290981" w:rsidRPr="008D346E" w:rsidTr="006953A1">
        <w:trPr>
          <w:jc w:val="center"/>
        </w:trPr>
        <w:tc>
          <w:tcPr>
            <w:tcW w:w="4733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  <w:jc w:val="left"/>
            </w:pPr>
            <w:r w:rsidRPr="008D346E">
              <w:t>Índice IPARDES de Desempenho Municipal (IPDM – Emprego, Renda e Produção Agropecuária) (2)</w:t>
            </w:r>
          </w:p>
        </w:tc>
        <w:tc>
          <w:tcPr>
            <w:tcW w:w="993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992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 w:rsidRPr="008D346E">
              <w:t>índice</w:t>
            </w:r>
          </w:p>
        </w:tc>
        <w:tc>
          <w:tcPr>
            <w:tcW w:w="1479" w:type="dxa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0,6032</w:t>
            </w:r>
          </w:p>
        </w:tc>
        <w:tc>
          <w:tcPr>
            <w:tcW w:w="1627" w:type="dxa"/>
            <w:gridSpan w:val="2"/>
            <w:vAlign w:val="center"/>
          </w:tcPr>
          <w:p w:rsidR="00290981" w:rsidRPr="008D346E" w:rsidRDefault="00290981" w:rsidP="006953A1">
            <w:pPr>
              <w:pStyle w:val="Dadostabelas0"/>
              <w:spacing w:before="20" w:after="20"/>
            </w:pPr>
            <w:r>
              <w:t>-</w:t>
            </w:r>
          </w:p>
        </w:tc>
      </w:tr>
    </w:tbl>
    <w:p w:rsidR="00290981" w:rsidRPr="008D346E" w:rsidRDefault="00290981" w:rsidP="00290981">
      <w:pPr>
        <w:pStyle w:val="Fonte"/>
        <w:ind w:firstLine="2694"/>
      </w:pPr>
      <w:r w:rsidRPr="008D346E">
        <w:t>Fonte: IBGE - Censo Demográfico 2000/ Atlas do Desenvolvimento Humano no Brasil / IPARDES</w:t>
      </w:r>
    </w:p>
    <w:p w:rsidR="00290981" w:rsidRPr="00EC6079" w:rsidRDefault="00290981" w:rsidP="00290981">
      <w:pPr>
        <w:pStyle w:val="Legenda"/>
      </w:pPr>
      <w:r w:rsidRPr="00D817FD">
        <w:rPr>
          <w:color w:val="FF0000"/>
        </w:rPr>
        <w:br w:type="page"/>
      </w:r>
    </w:p>
    <w:p w:rsidR="00290981" w:rsidRPr="00EC6079" w:rsidRDefault="00290981" w:rsidP="00290981">
      <w:pPr>
        <w:pStyle w:val="Legenda"/>
      </w:pPr>
    </w:p>
    <w:p w:rsidR="00290981" w:rsidRPr="00EC6079" w:rsidRDefault="00290981" w:rsidP="00290981">
      <w:pPr>
        <w:pStyle w:val="Legenda"/>
      </w:pPr>
    </w:p>
    <w:p w:rsidR="00290981" w:rsidRPr="00EC6079" w:rsidRDefault="00290981" w:rsidP="00290981">
      <w:pPr>
        <w:pStyle w:val="Legenda"/>
      </w:pPr>
    </w:p>
    <w:p w:rsidR="00290981" w:rsidRPr="00EC6079" w:rsidRDefault="00290981" w:rsidP="00290981">
      <w:pPr>
        <w:pStyle w:val="Legenda"/>
      </w:pPr>
    </w:p>
    <w:p w:rsidR="00290981" w:rsidRPr="00752F46" w:rsidRDefault="00290981" w:rsidP="00290981">
      <w:pPr>
        <w:pStyle w:val="Legenda"/>
      </w:pPr>
      <w:r w:rsidRPr="00752F46">
        <w:t>TABELA IC 0</w:t>
      </w:r>
      <w:r>
        <w:t>6</w:t>
      </w:r>
      <w:r w:rsidRPr="00752F46">
        <w:t xml:space="preserve"> – CAMBÉ, </w:t>
      </w:r>
      <w:r>
        <w:t>MUNICÍPIOS DA MICRORREGIÃO DE LONDRINA</w:t>
      </w:r>
      <w:r w:rsidRPr="00752F46">
        <w:t xml:space="preserve"> e PARANÁ</w:t>
      </w:r>
    </w:p>
    <w:p w:rsidR="00290981" w:rsidRPr="00752F46" w:rsidRDefault="00290981" w:rsidP="00290981">
      <w:pPr>
        <w:pStyle w:val="Legenda"/>
      </w:pPr>
      <w:r w:rsidRPr="00752F46">
        <w:t>ÍNDICES DE DESENVOLVIMENTO – INFRAESTRUTURA E SANEAMENTO</w:t>
      </w:r>
    </w:p>
    <w:tbl>
      <w:tblPr>
        <w:tblW w:w="11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373"/>
        <w:gridCol w:w="641"/>
        <w:gridCol w:w="758"/>
        <w:gridCol w:w="1239"/>
        <w:gridCol w:w="954"/>
        <w:gridCol w:w="954"/>
        <w:gridCol w:w="1129"/>
        <w:gridCol w:w="740"/>
        <w:gridCol w:w="954"/>
        <w:gridCol w:w="844"/>
      </w:tblGrid>
      <w:tr w:rsidR="00290981" w:rsidRPr="00752F46" w:rsidTr="006953A1">
        <w:trPr>
          <w:cantSplit/>
          <w:trHeight w:val="1641"/>
          <w:jc w:val="center"/>
        </w:trPr>
        <w:tc>
          <w:tcPr>
            <w:tcW w:w="3135" w:type="dxa"/>
            <w:gridSpan w:val="2"/>
            <w:shd w:val="clear" w:color="auto" w:fill="BFBFBF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752F46">
              <w:rPr>
                <w:b/>
              </w:rPr>
              <w:t>INDICADOR</w:t>
            </w:r>
          </w:p>
        </w:tc>
        <w:tc>
          <w:tcPr>
            <w:tcW w:w="641" w:type="dxa"/>
            <w:shd w:val="clear" w:color="auto" w:fill="BFBFBF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752F46">
              <w:rPr>
                <w:b/>
              </w:rPr>
              <w:t>ANO</w:t>
            </w:r>
          </w:p>
        </w:tc>
        <w:tc>
          <w:tcPr>
            <w:tcW w:w="758" w:type="dxa"/>
            <w:shd w:val="clear" w:color="auto" w:fill="BFBFBF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752F46">
              <w:rPr>
                <w:b/>
              </w:rPr>
              <w:t>UNID.</w:t>
            </w:r>
          </w:p>
        </w:tc>
        <w:tc>
          <w:tcPr>
            <w:tcW w:w="1239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b/>
                <w:szCs w:val="18"/>
              </w:rPr>
              <w:t>PARANÁ</w:t>
            </w:r>
          </w:p>
        </w:tc>
        <w:tc>
          <w:tcPr>
            <w:tcW w:w="954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b/>
                <w:szCs w:val="18"/>
              </w:rPr>
              <w:t>CAMBÉ</w:t>
            </w:r>
          </w:p>
        </w:tc>
        <w:tc>
          <w:tcPr>
            <w:tcW w:w="954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1129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740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954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844" w:type="dxa"/>
            <w:shd w:val="clear" w:color="auto" w:fill="BFBFBF"/>
            <w:textDirection w:val="btLr"/>
            <w:vAlign w:val="center"/>
          </w:tcPr>
          <w:p w:rsidR="00290981" w:rsidRPr="00BA0464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BA0464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6D0DAC" w:rsidRDefault="00290981" w:rsidP="006953A1">
            <w:pPr>
              <w:pStyle w:val="Dadostabelas0"/>
              <w:spacing w:before="20" w:after="20"/>
              <w:jc w:val="left"/>
            </w:pPr>
            <w:r w:rsidRPr="006D0DAC">
              <w:rPr>
                <w:rFonts w:eastAsia="Arial" w:cs="Arial"/>
              </w:rPr>
              <w:t>Total de domicílios urbanos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>
              <w:t>unid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3.755.090</w:t>
            </w:r>
          </w:p>
        </w:tc>
        <w:tc>
          <w:tcPr>
            <w:tcW w:w="954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33.644</w:t>
            </w:r>
          </w:p>
        </w:tc>
        <w:tc>
          <w:tcPr>
            <w:tcW w:w="954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16.449</w:t>
            </w:r>
          </w:p>
        </w:tc>
        <w:tc>
          <w:tcPr>
            <w:tcW w:w="1129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181.167</w:t>
            </w:r>
          </w:p>
        </w:tc>
        <w:tc>
          <w:tcPr>
            <w:tcW w:w="740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975</w:t>
            </w:r>
          </w:p>
        </w:tc>
        <w:tc>
          <w:tcPr>
            <w:tcW w:w="954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20.065</w:t>
            </w:r>
          </w:p>
        </w:tc>
        <w:tc>
          <w:tcPr>
            <w:tcW w:w="844" w:type="dxa"/>
            <w:vAlign w:val="center"/>
          </w:tcPr>
          <w:p w:rsidR="00290981" w:rsidRPr="00A0772B" w:rsidRDefault="00290981" w:rsidP="006953A1">
            <w:pPr>
              <w:jc w:val="center"/>
              <w:rPr>
                <w:sz w:val="18"/>
              </w:rPr>
            </w:pPr>
            <w:r w:rsidRPr="00A0772B">
              <w:rPr>
                <w:sz w:val="18"/>
              </w:rPr>
              <w:t>4.094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 xml:space="preserve">Domicílios com </w:t>
            </w:r>
            <w:proofErr w:type="spellStart"/>
            <w:r w:rsidRPr="00752F46">
              <w:t>abast</w:t>
            </w:r>
            <w:proofErr w:type="spellEnd"/>
            <w:r w:rsidRPr="00752F46">
              <w:t>. de água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%</w:t>
            </w:r>
          </w:p>
        </w:tc>
        <w:tc>
          <w:tcPr>
            <w:tcW w:w="123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2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40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4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Domicílios com rede de esgoto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%</w:t>
            </w:r>
          </w:p>
        </w:tc>
        <w:tc>
          <w:tcPr>
            <w:tcW w:w="123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2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40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4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89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Domicílios com coleta de lixo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%</w:t>
            </w:r>
          </w:p>
        </w:tc>
        <w:tc>
          <w:tcPr>
            <w:tcW w:w="123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2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40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4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Domicílios sem canalização interna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%</w:t>
            </w:r>
          </w:p>
        </w:tc>
        <w:tc>
          <w:tcPr>
            <w:tcW w:w="123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2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40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4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6,96</w:t>
            </w:r>
          </w:p>
        </w:tc>
      </w:tr>
      <w:tr w:rsidR="00290981" w:rsidRPr="00752F46" w:rsidTr="006953A1">
        <w:trPr>
          <w:trHeight w:val="332"/>
          <w:jc w:val="center"/>
        </w:trPr>
        <w:tc>
          <w:tcPr>
            <w:tcW w:w="3135" w:type="dxa"/>
            <w:gridSpan w:val="2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Domicílios sem sanitários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2010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752F46">
              <w:t>%</w:t>
            </w:r>
          </w:p>
        </w:tc>
        <w:tc>
          <w:tcPr>
            <w:tcW w:w="123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9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40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44" w:type="dxa"/>
            <w:vAlign w:val="center"/>
          </w:tcPr>
          <w:p w:rsidR="00290981" w:rsidRDefault="00290981" w:rsidP="006953A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1,00</w:t>
            </w:r>
          </w:p>
        </w:tc>
      </w:tr>
      <w:tr w:rsidR="00290981" w:rsidRPr="00752F46" w:rsidTr="006953A1">
        <w:trPr>
          <w:trHeight w:val="293"/>
          <w:jc w:val="center"/>
        </w:trPr>
        <w:tc>
          <w:tcPr>
            <w:tcW w:w="1762" w:type="dxa"/>
            <w:vMerge w:val="restart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Consumo de energia elétrica (média por consumidor)</w:t>
            </w:r>
          </w:p>
        </w:tc>
        <w:tc>
          <w:tcPr>
            <w:tcW w:w="1373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Total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 w:rsidRPr="00752F46">
              <w:t>MWh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28.368.705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234.906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113.136</w:t>
            </w:r>
          </w:p>
        </w:tc>
        <w:tc>
          <w:tcPr>
            <w:tcW w:w="112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1.352.308</w:t>
            </w:r>
          </w:p>
        </w:tc>
        <w:tc>
          <w:tcPr>
            <w:tcW w:w="740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6.105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252.914</w:t>
            </w:r>
          </w:p>
        </w:tc>
        <w:tc>
          <w:tcPr>
            <w:tcW w:w="84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126E0C">
              <w:t>18.642</w:t>
            </w:r>
          </w:p>
        </w:tc>
      </w:tr>
      <w:tr w:rsidR="00290981" w:rsidRPr="00752F46" w:rsidTr="006953A1">
        <w:trPr>
          <w:trHeight w:val="293"/>
          <w:jc w:val="center"/>
        </w:trPr>
        <w:tc>
          <w:tcPr>
            <w:tcW w:w="1762" w:type="dxa"/>
            <w:vMerge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373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Residencial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 w:rsidRPr="00752F46">
              <w:t>MWh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7.142.290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72.234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33.588</w:t>
            </w:r>
          </w:p>
        </w:tc>
        <w:tc>
          <w:tcPr>
            <w:tcW w:w="112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426.961</w:t>
            </w:r>
          </w:p>
        </w:tc>
        <w:tc>
          <w:tcPr>
            <w:tcW w:w="740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1.444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43.274</w:t>
            </w:r>
          </w:p>
        </w:tc>
        <w:tc>
          <w:tcPr>
            <w:tcW w:w="84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4.322</w:t>
            </w:r>
          </w:p>
        </w:tc>
      </w:tr>
      <w:tr w:rsidR="00290981" w:rsidRPr="00752F46" w:rsidTr="006953A1">
        <w:trPr>
          <w:trHeight w:val="293"/>
          <w:jc w:val="center"/>
        </w:trPr>
        <w:tc>
          <w:tcPr>
            <w:tcW w:w="1762" w:type="dxa"/>
            <w:vMerge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373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Industrial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 w:rsidRPr="00752F46">
              <w:t>MWh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83.282</w:t>
            </w:r>
          </w:p>
        </w:tc>
        <w:tc>
          <w:tcPr>
            <w:tcW w:w="954" w:type="dxa"/>
            <w:vAlign w:val="center"/>
          </w:tcPr>
          <w:p w:rsidR="00290981" w:rsidRPr="00C93AD9" w:rsidRDefault="00290981" w:rsidP="006953A1">
            <w:pPr>
              <w:jc w:val="center"/>
              <w:rPr>
                <w:sz w:val="18"/>
              </w:rPr>
            </w:pPr>
            <w:r w:rsidRPr="00C93AD9">
              <w:rPr>
                <w:sz w:val="18"/>
              </w:rPr>
              <w:t>841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1.091</w:t>
            </w:r>
          </w:p>
        </w:tc>
        <w:tc>
          <w:tcPr>
            <w:tcW w:w="112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4.916</w:t>
            </w:r>
          </w:p>
        </w:tc>
        <w:tc>
          <w:tcPr>
            <w:tcW w:w="740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25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886</w:t>
            </w:r>
          </w:p>
        </w:tc>
        <w:tc>
          <w:tcPr>
            <w:tcW w:w="84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115</w:t>
            </w:r>
          </w:p>
        </w:tc>
      </w:tr>
      <w:tr w:rsidR="00290981" w:rsidRPr="00752F46" w:rsidTr="006953A1">
        <w:trPr>
          <w:trHeight w:val="293"/>
          <w:jc w:val="center"/>
        </w:trPr>
        <w:tc>
          <w:tcPr>
            <w:tcW w:w="1762" w:type="dxa"/>
            <w:vMerge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373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Com. / Serv.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 w:rsidRPr="00752F46">
              <w:t>MWh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391.600</w:t>
            </w:r>
          </w:p>
        </w:tc>
        <w:tc>
          <w:tcPr>
            <w:tcW w:w="954" w:type="dxa"/>
            <w:vAlign w:val="center"/>
          </w:tcPr>
          <w:p w:rsidR="00290981" w:rsidRPr="00C93AD9" w:rsidRDefault="00290981" w:rsidP="006953A1">
            <w:pPr>
              <w:jc w:val="center"/>
              <w:rPr>
                <w:sz w:val="18"/>
              </w:rPr>
            </w:pPr>
            <w:r w:rsidRPr="00C93AD9">
              <w:rPr>
                <w:sz w:val="18"/>
              </w:rPr>
              <w:t>3.464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1.623</w:t>
            </w:r>
          </w:p>
        </w:tc>
        <w:tc>
          <w:tcPr>
            <w:tcW w:w="112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25.943</w:t>
            </w:r>
          </w:p>
        </w:tc>
        <w:tc>
          <w:tcPr>
            <w:tcW w:w="740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62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2.118</w:t>
            </w:r>
          </w:p>
        </w:tc>
        <w:tc>
          <w:tcPr>
            <w:tcW w:w="84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302</w:t>
            </w:r>
          </w:p>
        </w:tc>
      </w:tr>
      <w:tr w:rsidR="00290981" w:rsidRPr="00752F46" w:rsidTr="006953A1">
        <w:trPr>
          <w:trHeight w:val="293"/>
          <w:jc w:val="center"/>
        </w:trPr>
        <w:tc>
          <w:tcPr>
            <w:tcW w:w="1762" w:type="dxa"/>
            <w:vMerge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373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  <w:jc w:val="left"/>
            </w:pPr>
            <w:r w:rsidRPr="00752F46">
              <w:t>Rural</w:t>
            </w:r>
          </w:p>
        </w:tc>
        <w:tc>
          <w:tcPr>
            <w:tcW w:w="641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758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proofErr w:type="spellStart"/>
            <w:r w:rsidRPr="00752F46">
              <w:t>MWh</w:t>
            </w:r>
            <w:proofErr w:type="spellEnd"/>
          </w:p>
        </w:tc>
        <w:tc>
          <w:tcPr>
            <w:tcW w:w="123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 w:rsidRPr="00C93AD9">
              <w:t>367.104</w:t>
            </w:r>
          </w:p>
        </w:tc>
        <w:tc>
          <w:tcPr>
            <w:tcW w:w="954" w:type="dxa"/>
            <w:vAlign w:val="center"/>
          </w:tcPr>
          <w:p w:rsidR="00290981" w:rsidRPr="00C93AD9" w:rsidRDefault="00290981" w:rsidP="006953A1">
            <w:pPr>
              <w:jc w:val="center"/>
              <w:rPr>
                <w:sz w:val="18"/>
              </w:rPr>
            </w:pPr>
            <w:r w:rsidRPr="00C93AD9">
              <w:rPr>
                <w:sz w:val="18"/>
              </w:rPr>
              <w:t>608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600</w:t>
            </w:r>
          </w:p>
        </w:tc>
        <w:tc>
          <w:tcPr>
            <w:tcW w:w="1129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3.280</w:t>
            </w:r>
          </w:p>
        </w:tc>
        <w:tc>
          <w:tcPr>
            <w:tcW w:w="740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201</w:t>
            </w:r>
          </w:p>
        </w:tc>
        <w:tc>
          <w:tcPr>
            <w:tcW w:w="95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639</w:t>
            </w:r>
          </w:p>
        </w:tc>
        <w:tc>
          <w:tcPr>
            <w:tcW w:w="844" w:type="dxa"/>
            <w:vAlign w:val="center"/>
          </w:tcPr>
          <w:p w:rsidR="00290981" w:rsidRPr="00752F46" w:rsidRDefault="00290981" w:rsidP="006953A1">
            <w:pPr>
              <w:pStyle w:val="Dadostabelas0"/>
              <w:spacing w:before="20" w:after="20"/>
            </w:pPr>
            <w:r>
              <w:t>818</w:t>
            </w:r>
          </w:p>
        </w:tc>
      </w:tr>
    </w:tbl>
    <w:p w:rsidR="00290981" w:rsidRPr="00752F46" w:rsidRDefault="00290981" w:rsidP="00290981">
      <w:pPr>
        <w:pStyle w:val="Fonte"/>
        <w:ind w:firstLine="1985"/>
      </w:pPr>
      <w:r w:rsidRPr="00752F46">
        <w:t>Fonte: IBGE / IPARDES</w:t>
      </w:r>
    </w:p>
    <w:p w:rsidR="00290981" w:rsidRPr="001A70D5" w:rsidRDefault="00290981" w:rsidP="00290981">
      <w:pPr>
        <w:pStyle w:val="Legenda"/>
      </w:pPr>
      <w:r w:rsidRPr="00D817FD">
        <w:rPr>
          <w:color w:val="FF0000"/>
        </w:rPr>
        <w:br w:type="page"/>
      </w: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4D21C6" w:rsidRDefault="00290981" w:rsidP="00290981">
      <w:pPr>
        <w:pStyle w:val="Legenda"/>
      </w:pPr>
      <w:r w:rsidRPr="004D21C6">
        <w:t>TABELA IC 0</w:t>
      </w:r>
      <w:r>
        <w:t>7</w:t>
      </w:r>
      <w:r w:rsidRPr="004D21C6">
        <w:t xml:space="preserve"> – CAMBÉ, </w:t>
      </w:r>
      <w:r w:rsidRPr="00A839F7">
        <w:t xml:space="preserve">microrregião de londrina </w:t>
      </w:r>
      <w:r w:rsidRPr="004D21C6">
        <w:t>e PARANÁ</w:t>
      </w:r>
    </w:p>
    <w:p w:rsidR="00290981" w:rsidRPr="004D21C6" w:rsidRDefault="00290981" w:rsidP="00290981">
      <w:pPr>
        <w:pStyle w:val="Legenda"/>
      </w:pPr>
      <w:r w:rsidRPr="004D21C6">
        <w:t>ÍNDICES DE DESENVOLVIMENTO – SAÚDE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698"/>
        <w:gridCol w:w="1038"/>
        <w:gridCol w:w="767"/>
        <w:gridCol w:w="767"/>
        <w:gridCol w:w="767"/>
        <w:gridCol w:w="767"/>
        <w:gridCol w:w="807"/>
        <w:gridCol w:w="767"/>
        <w:gridCol w:w="767"/>
      </w:tblGrid>
      <w:tr w:rsidR="00290981" w:rsidRPr="004D21C6" w:rsidTr="006953A1">
        <w:trPr>
          <w:trHeight w:val="1715"/>
          <w:jc w:val="center"/>
        </w:trPr>
        <w:tc>
          <w:tcPr>
            <w:tcW w:w="3795" w:type="dxa"/>
            <w:shd w:val="clear" w:color="auto" w:fill="BFBFBF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D21C6">
              <w:rPr>
                <w:b/>
              </w:rPr>
              <w:t>INDICADOR</w:t>
            </w:r>
          </w:p>
        </w:tc>
        <w:tc>
          <w:tcPr>
            <w:tcW w:w="698" w:type="dxa"/>
            <w:shd w:val="clear" w:color="auto" w:fill="BFBFBF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D21C6">
              <w:rPr>
                <w:b/>
              </w:rPr>
              <w:t>ANO</w:t>
            </w:r>
          </w:p>
        </w:tc>
        <w:tc>
          <w:tcPr>
            <w:tcW w:w="1038" w:type="dxa"/>
            <w:shd w:val="clear" w:color="auto" w:fill="BFBFBF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4D21C6">
              <w:rPr>
                <w:b/>
              </w:rPr>
              <w:t>UNIDADE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4D21C6">
              <w:rPr>
                <w:b/>
              </w:rPr>
              <w:t>PARANÁ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4D21C6">
              <w:rPr>
                <w:b/>
              </w:rPr>
              <w:t>CAMBÉ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4D21C6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4D21C6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80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4D21C6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4D21C6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767" w:type="dxa"/>
            <w:shd w:val="clear" w:color="auto" w:fill="BFBFBF"/>
            <w:textDirection w:val="btLr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4D21C6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4D21C6" w:rsidTr="006953A1">
        <w:trPr>
          <w:jc w:val="center"/>
        </w:trPr>
        <w:tc>
          <w:tcPr>
            <w:tcW w:w="3795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jc w:val="left"/>
            </w:pPr>
            <w:r w:rsidRPr="004D21C6">
              <w:t>Índice IPARDES de Desempenho Municipal (IPDM – Saúde) (1)</w:t>
            </w:r>
          </w:p>
        </w:tc>
        <w:tc>
          <w:tcPr>
            <w:tcW w:w="698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2015</w:t>
            </w:r>
          </w:p>
        </w:tc>
        <w:tc>
          <w:tcPr>
            <w:tcW w:w="1038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 w:rsidRPr="004D21C6">
              <w:t>índice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0,8951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0,8827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0,8849</w:t>
            </w:r>
          </w:p>
        </w:tc>
        <w:tc>
          <w:tcPr>
            <w:tcW w:w="807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0,7514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0,8551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0,8398</w:t>
            </w:r>
          </w:p>
        </w:tc>
      </w:tr>
      <w:tr w:rsidR="00290981" w:rsidRPr="00CF0792" w:rsidTr="006953A1">
        <w:trPr>
          <w:jc w:val="center"/>
        </w:trPr>
        <w:tc>
          <w:tcPr>
            <w:tcW w:w="3795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  <w:jc w:val="left"/>
            </w:pPr>
            <w:r w:rsidRPr="00CF0792">
              <w:t>Coeficiente de mortalidade infantil (2)</w:t>
            </w:r>
          </w:p>
        </w:tc>
        <w:tc>
          <w:tcPr>
            <w:tcW w:w="698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1038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índice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10,43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10,35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20,63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8,70</w:t>
            </w:r>
          </w:p>
        </w:tc>
        <w:tc>
          <w:tcPr>
            <w:tcW w:w="807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27,78**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9,06</w:t>
            </w:r>
          </w:p>
        </w:tc>
        <w:tc>
          <w:tcPr>
            <w:tcW w:w="767" w:type="dxa"/>
            <w:vAlign w:val="center"/>
          </w:tcPr>
          <w:p w:rsidR="00290981" w:rsidRPr="00CF0792" w:rsidRDefault="00290981" w:rsidP="006953A1">
            <w:pPr>
              <w:pStyle w:val="Dadostabelas0"/>
              <w:spacing w:before="20" w:after="20"/>
            </w:pPr>
            <w:r w:rsidRPr="00CF0792">
              <w:t>15,46</w:t>
            </w:r>
          </w:p>
        </w:tc>
      </w:tr>
      <w:tr w:rsidR="00290981" w:rsidRPr="004D21C6" w:rsidTr="006953A1">
        <w:trPr>
          <w:jc w:val="center"/>
        </w:trPr>
        <w:tc>
          <w:tcPr>
            <w:tcW w:w="3795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jc w:val="left"/>
            </w:pPr>
            <w:r w:rsidRPr="004D21C6">
              <w:t>Número de hospitais</w:t>
            </w:r>
          </w:p>
        </w:tc>
        <w:tc>
          <w:tcPr>
            <w:tcW w:w="698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1038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 w:rsidRPr="004D21C6">
              <w:t>número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402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15</w:t>
            </w:r>
          </w:p>
        </w:tc>
        <w:tc>
          <w:tcPr>
            <w:tcW w:w="807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</w:t>
            </w:r>
          </w:p>
        </w:tc>
      </w:tr>
      <w:tr w:rsidR="00290981" w:rsidRPr="004D21C6" w:rsidTr="006953A1">
        <w:trPr>
          <w:jc w:val="center"/>
        </w:trPr>
        <w:tc>
          <w:tcPr>
            <w:tcW w:w="3795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  <w:jc w:val="left"/>
            </w:pPr>
            <w:r w:rsidRPr="004D21C6">
              <w:t>Total de leitos</w:t>
            </w:r>
          </w:p>
        </w:tc>
        <w:tc>
          <w:tcPr>
            <w:tcW w:w="698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1038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 w:rsidRPr="004D21C6">
              <w:t>número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1.643</w:t>
            </w:r>
          </w:p>
        </w:tc>
        <w:tc>
          <w:tcPr>
            <w:tcW w:w="807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290981" w:rsidRPr="004D21C6" w:rsidRDefault="00290981" w:rsidP="006953A1">
            <w:pPr>
              <w:pStyle w:val="Dadostabelas0"/>
              <w:spacing w:before="20" w:after="20"/>
            </w:pPr>
            <w:r>
              <w:t>1</w:t>
            </w:r>
          </w:p>
        </w:tc>
      </w:tr>
      <w:tr w:rsidR="00290981" w:rsidRPr="00AB6EED" w:rsidTr="006953A1">
        <w:trPr>
          <w:jc w:val="center"/>
        </w:trPr>
        <w:tc>
          <w:tcPr>
            <w:tcW w:w="3795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  <w:jc w:val="left"/>
            </w:pPr>
            <w:r w:rsidRPr="00AB6EED">
              <w:t>Leitos de SUS</w:t>
            </w:r>
          </w:p>
        </w:tc>
        <w:tc>
          <w:tcPr>
            <w:tcW w:w="698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2016</w:t>
            </w:r>
          </w:p>
        </w:tc>
        <w:tc>
          <w:tcPr>
            <w:tcW w:w="1038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número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18.917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47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63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1.213</w:t>
            </w:r>
          </w:p>
        </w:tc>
        <w:tc>
          <w:tcPr>
            <w:tcW w:w="807" w:type="dxa"/>
            <w:vAlign w:val="center"/>
          </w:tcPr>
          <w:p w:rsidR="00290981" w:rsidRDefault="00290981" w:rsidP="006953A1">
            <w:pPr>
              <w:pStyle w:val="Dadostabelas0"/>
              <w:spacing w:before="20" w:after="20"/>
            </w:pPr>
            <w:r>
              <w:t>-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197</w:t>
            </w:r>
          </w:p>
        </w:tc>
        <w:tc>
          <w:tcPr>
            <w:tcW w:w="767" w:type="dxa"/>
            <w:vAlign w:val="center"/>
          </w:tcPr>
          <w:p w:rsidR="00290981" w:rsidRPr="00AB6EED" w:rsidRDefault="00290981" w:rsidP="006953A1">
            <w:pPr>
              <w:pStyle w:val="Dadostabelas0"/>
              <w:spacing w:before="20" w:after="20"/>
            </w:pPr>
            <w:r w:rsidRPr="00AB6EED">
              <w:t>21</w:t>
            </w:r>
          </w:p>
        </w:tc>
      </w:tr>
      <w:tr w:rsidR="00290981" w:rsidRPr="00AB6EED" w:rsidTr="006953A1">
        <w:trPr>
          <w:jc w:val="center"/>
        </w:trPr>
        <w:tc>
          <w:tcPr>
            <w:tcW w:w="3795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  <w:jc w:val="left"/>
            </w:pPr>
            <w:r w:rsidRPr="004C180A">
              <w:t>Leitos / mil habitantes</w:t>
            </w:r>
          </w:p>
        </w:tc>
        <w:tc>
          <w:tcPr>
            <w:tcW w:w="698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2017</w:t>
            </w:r>
          </w:p>
        </w:tc>
        <w:tc>
          <w:tcPr>
            <w:tcW w:w="1038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número</w:t>
            </w: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100</w:t>
            </w: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127</w:t>
            </w: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1.903</w:t>
            </w:r>
          </w:p>
        </w:tc>
        <w:tc>
          <w:tcPr>
            <w:tcW w:w="80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--</w:t>
            </w: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213</w:t>
            </w:r>
          </w:p>
        </w:tc>
        <w:tc>
          <w:tcPr>
            <w:tcW w:w="767" w:type="dxa"/>
            <w:vAlign w:val="center"/>
          </w:tcPr>
          <w:p w:rsidR="00290981" w:rsidRPr="004C180A" w:rsidRDefault="00290981" w:rsidP="006953A1">
            <w:pPr>
              <w:pStyle w:val="Dadostabelas0"/>
              <w:spacing w:before="20" w:after="20"/>
            </w:pPr>
            <w:r w:rsidRPr="004C180A">
              <w:t>21</w:t>
            </w:r>
          </w:p>
        </w:tc>
      </w:tr>
    </w:tbl>
    <w:p w:rsidR="00290981" w:rsidRPr="004D21C6" w:rsidRDefault="00290981" w:rsidP="00290981">
      <w:pPr>
        <w:pStyle w:val="Fonte"/>
        <w:ind w:left="2268" w:right="1812" w:hanging="283"/>
        <w:jc w:val="both"/>
      </w:pPr>
      <w:r w:rsidRPr="004D21C6">
        <w:t>(1) O índice varia de 0 (menor nível de desempenho) a 1 (maior nível de desempenho). Para a dimensão Saúde foram considerados os seguintes pesos: a) percentual de mais de seis consultas pré-natais por nascido vivo (33,3%); b) percentual de óbitos por causas mal definidas (33,3%) e c) percentual de óbitos de menores de cinco anos por causas evitáveis por nascidos vivos (33,3%).</w:t>
      </w:r>
    </w:p>
    <w:p w:rsidR="00290981" w:rsidRPr="004D21C6" w:rsidRDefault="00290981" w:rsidP="00290981">
      <w:pPr>
        <w:pStyle w:val="Fonte"/>
        <w:ind w:left="2268" w:hanging="283"/>
        <w:jc w:val="both"/>
      </w:pPr>
      <w:r w:rsidRPr="004D21C6">
        <w:t>(2) Óbitos de menores de 1 ano / mil nascidos vivos.</w:t>
      </w:r>
    </w:p>
    <w:p w:rsidR="00290981" w:rsidRPr="004D21C6" w:rsidRDefault="00290981" w:rsidP="00290981">
      <w:pPr>
        <w:pStyle w:val="Fonte"/>
        <w:ind w:left="2268" w:hanging="283"/>
        <w:jc w:val="both"/>
      </w:pPr>
      <w:r w:rsidRPr="004D21C6">
        <w:t>(3) Não houve morte nesta faixa etária neste ano.</w:t>
      </w:r>
    </w:p>
    <w:p w:rsidR="00290981" w:rsidRPr="004D21C6" w:rsidRDefault="00290981" w:rsidP="00290981">
      <w:pPr>
        <w:pStyle w:val="Fonte"/>
        <w:ind w:left="2268" w:hanging="283"/>
        <w:jc w:val="both"/>
      </w:pPr>
      <w:r w:rsidRPr="004D21C6">
        <w:t>(4) O município não apresenta todos os dados necessários aos cálculos destes indicadores.</w:t>
      </w:r>
    </w:p>
    <w:p w:rsidR="00290981" w:rsidRDefault="00290981" w:rsidP="00290981">
      <w:pPr>
        <w:pStyle w:val="Fonte"/>
        <w:ind w:left="2268" w:hanging="283"/>
        <w:jc w:val="both"/>
      </w:pPr>
      <w:r w:rsidRPr="004D21C6">
        <w:t>* Dados do ano 2000.</w:t>
      </w:r>
    </w:p>
    <w:p w:rsidR="00290981" w:rsidRDefault="00290981" w:rsidP="00290981">
      <w:pPr>
        <w:pStyle w:val="Fonte"/>
        <w:ind w:left="1985"/>
        <w:jc w:val="both"/>
      </w:pPr>
      <w:r>
        <w:t>** Dados do ano 2015.</w:t>
      </w:r>
    </w:p>
    <w:p w:rsidR="00290981" w:rsidRPr="004D21C6" w:rsidRDefault="00290981" w:rsidP="00290981">
      <w:pPr>
        <w:pStyle w:val="Fonte"/>
        <w:ind w:left="2268" w:hanging="283"/>
        <w:jc w:val="both"/>
      </w:pPr>
    </w:p>
    <w:p w:rsidR="00290981" w:rsidRPr="004D21C6" w:rsidRDefault="00290981" w:rsidP="00290981">
      <w:pPr>
        <w:pStyle w:val="Fonte"/>
        <w:ind w:left="2268" w:hanging="283"/>
        <w:jc w:val="both"/>
      </w:pPr>
      <w:r w:rsidRPr="004D21C6">
        <w:t xml:space="preserve">FONTE: IPEA / IPARDES / Ministério da Saúde. </w:t>
      </w:r>
      <w:r w:rsidRPr="00F7162A">
        <w:t>http://tabnet.datasus.gov.br/cgi/tabcgi.exe?cnes/cnv/leiintbr.def</w:t>
      </w:r>
    </w:p>
    <w:p w:rsidR="00290981" w:rsidRPr="006308C2" w:rsidRDefault="00290981" w:rsidP="00290981">
      <w:pPr>
        <w:pStyle w:val="Legenda"/>
      </w:pPr>
      <w:r w:rsidRPr="00D817FD">
        <w:rPr>
          <w:color w:val="FF0000"/>
        </w:rPr>
        <w:br w:type="page"/>
      </w:r>
      <w:r w:rsidRPr="006308C2">
        <w:lastRenderedPageBreak/>
        <w:t>TABELA IC 0</w:t>
      </w:r>
      <w:r>
        <w:t>8</w:t>
      </w:r>
      <w:r w:rsidRPr="006308C2">
        <w:t xml:space="preserve"> – CAMBÉ, </w:t>
      </w:r>
      <w:r w:rsidRPr="00A839F7">
        <w:t xml:space="preserve">microrregião de londrina </w:t>
      </w:r>
      <w:r w:rsidRPr="006308C2">
        <w:t>e PARANÁ</w:t>
      </w:r>
    </w:p>
    <w:p w:rsidR="00290981" w:rsidRPr="006308C2" w:rsidRDefault="00290981" w:rsidP="00290981">
      <w:pPr>
        <w:pStyle w:val="Legenda"/>
      </w:pPr>
      <w:r w:rsidRPr="006308C2">
        <w:t>ÍNDICES DE DESENVOLVIMENTO – EDUCAÇÃO</w:t>
      </w:r>
    </w:p>
    <w:tbl>
      <w:tblPr>
        <w:tblW w:w="12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923"/>
        <w:gridCol w:w="713"/>
        <w:gridCol w:w="857"/>
        <w:gridCol w:w="985"/>
        <w:gridCol w:w="986"/>
        <w:gridCol w:w="986"/>
        <w:gridCol w:w="985"/>
        <w:gridCol w:w="986"/>
        <w:gridCol w:w="986"/>
        <w:gridCol w:w="986"/>
      </w:tblGrid>
      <w:tr w:rsidR="00290981" w:rsidRPr="006308C2" w:rsidTr="006953A1">
        <w:trPr>
          <w:trHeight w:val="1608"/>
          <w:jc w:val="center"/>
        </w:trPr>
        <w:tc>
          <w:tcPr>
            <w:tcW w:w="3894" w:type="dxa"/>
            <w:gridSpan w:val="2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INDICADOR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ANO</w:t>
            </w:r>
          </w:p>
        </w:tc>
        <w:tc>
          <w:tcPr>
            <w:tcW w:w="857" w:type="dxa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UNID.</w:t>
            </w:r>
          </w:p>
        </w:tc>
        <w:tc>
          <w:tcPr>
            <w:tcW w:w="985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6308C2">
              <w:rPr>
                <w:b/>
              </w:rPr>
              <w:t>PARANÁ</w:t>
            </w:r>
          </w:p>
        </w:tc>
        <w:tc>
          <w:tcPr>
            <w:tcW w:w="98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6308C2">
              <w:rPr>
                <w:b/>
              </w:rPr>
              <w:t>CAMBÉ</w:t>
            </w:r>
          </w:p>
        </w:tc>
        <w:tc>
          <w:tcPr>
            <w:tcW w:w="98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985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98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98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98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ED71D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Taxa de analfabetismo</w:t>
            </w:r>
          </w:p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(15 anos ou mais)</w:t>
            </w:r>
          </w:p>
        </w:tc>
        <w:tc>
          <w:tcPr>
            <w:tcW w:w="713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2000</w:t>
            </w:r>
          </w:p>
        </w:tc>
        <w:tc>
          <w:tcPr>
            <w:tcW w:w="857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%</w:t>
            </w:r>
          </w:p>
        </w:tc>
        <w:tc>
          <w:tcPr>
            <w:tcW w:w="985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9,53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9,45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11,20</w:t>
            </w:r>
          </w:p>
        </w:tc>
        <w:tc>
          <w:tcPr>
            <w:tcW w:w="985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7,07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15,03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9,52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22,74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13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2010</w:t>
            </w:r>
          </w:p>
        </w:tc>
        <w:tc>
          <w:tcPr>
            <w:tcW w:w="857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%</w:t>
            </w:r>
          </w:p>
        </w:tc>
        <w:tc>
          <w:tcPr>
            <w:tcW w:w="985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6,28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6,39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7,44</w:t>
            </w:r>
          </w:p>
        </w:tc>
        <w:tc>
          <w:tcPr>
            <w:tcW w:w="985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4,51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12,24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6,17</w:t>
            </w:r>
          </w:p>
        </w:tc>
        <w:tc>
          <w:tcPr>
            <w:tcW w:w="986" w:type="dxa"/>
            <w:vAlign w:val="center"/>
          </w:tcPr>
          <w:p w:rsidR="00290981" w:rsidRPr="00ED71D2" w:rsidRDefault="00290981" w:rsidP="006953A1">
            <w:pPr>
              <w:pStyle w:val="Dadostabelas0"/>
              <w:spacing w:before="20" w:after="20"/>
            </w:pPr>
            <w:r w:rsidRPr="00ED71D2">
              <w:t>15,25</w:t>
            </w:r>
          </w:p>
        </w:tc>
      </w:tr>
      <w:tr w:rsidR="00290981" w:rsidRPr="00DD0B04" w:rsidTr="006953A1">
        <w:trPr>
          <w:jc w:val="center"/>
        </w:trPr>
        <w:tc>
          <w:tcPr>
            <w:tcW w:w="1971" w:type="dxa"/>
            <w:vMerge w:val="restart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  <w:jc w:val="left"/>
            </w:pPr>
            <w:r w:rsidRPr="006E0222">
              <w:t>Taxa bruta de frequência escolar</w:t>
            </w:r>
          </w:p>
        </w:tc>
        <w:tc>
          <w:tcPr>
            <w:tcW w:w="1923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  <w:jc w:val="left"/>
            </w:pPr>
            <w:proofErr w:type="spellStart"/>
            <w:r w:rsidRPr="006E0222">
              <w:t>Pré</w:t>
            </w:r>
            <w:proofErr w:type="spellEnd"/>
            <w:r w:rsidRPr="006E0222">
              <w:t xml:space="preserve"> escola</w:t>
            </w:r>
          </w:p>
        </w:tc>
        <w:tc>
          <w:tcPr>
            <w:tcW w:w="713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857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</w:pPr>
            <w:r w:rsidRPr="006E0222">
              <w:t>%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54,85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57,30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72,43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68,32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59,98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61,20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90981" w:rsidRPr="00DD0B04" w:rsidRDefault="00290981" w:rsidP="006953A1">
            <w:pPr>
              <w:pStyle w:val="Dadostabelas0"/>
              <w:spacing w:before="20" w:after="20"/>
            </w:pPr>
            <w:r w:rsidRPr="00DD0B04">
              <w:t>39,50</w:t>
            </w:r>
          </w:p>
        </w:tc>
      </w:tr>
      <w:tr w:rsidR="00290981" w:rsidRPr="006308C2" w:rsidTr="006953A1">
        <w:trPr>
          <w:jc w:val="center"/>
        </w:trPr>
        <w:tc>
          <w:tcPr>
            <w:tcW w:w="1971" w:type="dxa"/>
            <w:vMerge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923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  <w:jc w:val="left"/>
            </w:pPr>
            <w:r w:rsidRPr="006E0222">
              <w:t>Ensino Fundamental</w:t>
            </w:r>
          </w:p>
        </w:tc>
        <w:tc>
          <w:tcPr>
            <w:tcW w:w="713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</w:pPr>
            <w:r w:rsidRPr="006E0222">
              <w:t>2010</w:t>
            </w:r>
          </w:p>
        </w:tc>
        <w:tc>
          <w:tcPr>
            <w:tcW w:w="857" w:type="dxa"/>
            <w:vAlign w:val="center"/>
          </w:tcPr>
          <w:p w:rsidR="00290981" w:rsidRPr="006E0222" w:rsidRDefault="00290981" w:rsidP="006953A1">
            <w:pPr>
              <w:pStyle w:val="Dadostabelas0"/>
              <w:spacing w:before="20" w:after="20"/>
            </w:pPr>
            <w:r w:rsidRPr="006E022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106,66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102,53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114,14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106,65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110,10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11,76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115,80</w:t>
            </w:r>
          </w:p>
        </w:tc>
      </w:tr>
      <w:tr w:rsidR="00290981" w:rsidRPr="006308C2" w:rsidTr="006953A1">
        <w:trPr>
          <w:jc w:val="center"/>
        </w:trPr>
        <w:tc>
          <w:tcPr>
            <w:tcW w:w="1971" w:type="dxa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192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>
              <w:t>Ensino Médio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E022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72,71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70,19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67,67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72,97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70,36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77,09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31,37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 w:rsidRPr="006308C2">
              <w:t>Índice de educação (IDHM-E) (1)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índice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0,522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0,538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0,522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0,612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0,464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0,562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0,291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índice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0,668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0,651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0,647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0,712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0,634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0,661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0,460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Índice IPARDES de Desempenho Municipal relativo à educação (IPDM – Educação) (2)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2015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índice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-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0,7359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0,7708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0,8016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0,7521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0,8203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0,3940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0,7691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0,7884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0,8281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0,8523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0,8032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0,6604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 w:rsidRPr="006308C2">
              <w:t>Crianças entre 5 e 6 anos na escola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71,98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74,70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71,67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94,03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77,74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34,41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84,31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91,07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89,05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100,00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93,04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75,92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 w:rsidRPr="006308C2">
              <w:t>Crianças entre 7 e 14 anos na escola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97,14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96,27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96,14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97,95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both"/>
            </w:pPr>
            <w:r w:rsidRPr="006308C2">
              <w:t>96,00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82,08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97,49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96,76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97,34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100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97,51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94,40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Adolescentes entre 15 e 17 anos na escola</w:t>
            </w: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73,44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73,78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76,94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58,47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72,37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53,69</w:t>
            </w:r>
          </w:p>
        </w:tc>
      </w:tr>
      <w:tr w:rsidR="00290981" w:rsidRPr="006308C2" w:rsidTr="006953A1">
        <w:trPr>
          <w:jc w:val="center"/>
        </w:trPr>
        <w:tc>
          <w:tcPr>
            <w:tcW w:w="3894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713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2010</w:t>
            </w:r>
          </w:p>
        </w:tc>
        <w:tc>
          <w:tcPr>
            <w:tcW w:w="85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%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81,60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85,06</w:t>
            </w:r>
          </w:p>
        </w:tc>
        <w:tc>
          <w:tcPr>
            <w:tcW w:w="985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83,58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83,27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79,69</w:t>
            </w:r>
          </w:p>
        </w:tc>
        <w:tc>
          <w:tcPr>
            <w:tcW w:w="98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64,61</w:t>
            </w:r>
          </w:p>
        </w:tc>
      </w:tr>
    </w:tbl>
    <w:p w:rsidR="00290981" w:rsidRPr="006308C2" w:rsidRDefault="00290981" w:rsidP="00290981">
      <w:pPr>
        <w:pStyle w:val="Fonte"/>
        <w:ind w:left="1276" w:right="822"/>
        <w:jc w:val="both"/>
      </w:pPr>
      <w:r w:rsidRPr="006308C2">
        <w:t>Subíndice do IDHM relativo à Educação. Obtido a partir da taxa de alfabetização e da taxa bruta de frequência à escola convertidas em índices por: (valor observado - limite inferior) / (limite superior - limite inferior) com limites inferior e superior de 0% e 100%. O IDHM-Educação é a média desses 2 índices. Com peso 2 para o da taxa de alfabetização e peso 1 para o da taxa bruta de freqüência.</w:t>
      </w:r>
    </w:p>
    <w:p w:rsidR="00290981" w:rsidRPr="006308C2" w:rsidRDefault="00290981" w:rsidP="00290981">
      <w:pPr>
        <w:pStyle w:val="Fonte"/>
        <w:ind w:left="1276" w:right="964"/>
        <w:jc w:val="both"/>
      </w:pPr>
      <w:r w:rsidRPr="006308C2">
        <w:t>(2) O índice varia de 0 (menor nível de desempenho) a 1 (maior nível de desempenho). Para a dimensão Educação foram considerados os seguintes pesos: a) atendimento à educação infantil (20%); b) percentual de docentes com curso superior (15%); c) número médio diário de horas-aula (15%); d) taxa de não distorção idade-série (10%); e) taxa de não abandono (15%) e f) média do índice de desenvolvimento da educação básica (25%).</w:t>
      </w:r>
    </w:p>
    <w:p w:rsidR="00290981" w:rsidRPr="006308C2" w:rsidRDefault="00290981" w:rsidP="00290981">
      <w:pPr>
        <w:pStyle w:val="Fonte"/>
        <w:ind w:left="1843"/>
        <w:jc w:val="both"/>
      </w:pPr>
      <w:r w:rsidRPr="006308C2">
        <w:t>FONTE: IBGE / IPARDES / Atlas do Desenvolvimento Humano no Brasil</w:t>
      </w:r>
    </w:p>
    <w:p w:rsidR="00290981" w:rsidRPr="001A70D5" w:rsidRDefault="00290981" w:rsidP="00290981">
      <w:pPr>
        <w:pStyle w:val="Legenda"/>
      </w:pPr>
      <w:r w:rsidRPr="00D817FD">
        <w:rPr>
          <w:color w:val="FF0000"/>
        </w:rPr>
        <w:br w:type="page"/>
      </w: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1A70D5" w:rsidRDefault="00290981" w:rsidP="00290981">
      <w:pPr>
        <w:pStyle w:val="Legenda"/>
      </w:pPr>
    </w:p>
    <w:p w:rsidR="00290981" w:rsidRPr="006308C2" w:rsidRDefault="00290981" w:rsidP="00290981">
      <w:pPr>
        <w:pStyle w:val="Legenda"/>
      </w:pPr>
      <w:r w:rsidRPr="006308C2">
        <w:t>TABELA IC 0</w:t>
      </w:r>
      <w:r>
        <w:t>9</w:t>
      </w:r>
      <w:r w:rsidRPr="006308C2">
        <w:t xml:space="preserve"> – CAMBÉ, MUNICÍPIOS </w:t>
      </w:r>
      <w:r>
        <w:t>DA MICRORREGIÃO DE LONDRINA</w:t>
      </w:r>
      <w:r w:rsidRPr="006308C2">
        <w:t xml:space="preserve"> e PARANÁ</w:t>
      </w:r>
    </w:p>
    <w:p w:rsidR="00290981" w:rsidRPr="006308C2" w:rsidRDefault="00290981" w:rsidP="00290981">
      <w:pPr>
        <w:pStyle w:val="Legenda"/>
      </w:pPr>
      <w:r w:rsidRPr="006308C2">
        <w:t>ÍNDICES DE DESENVOLVIMENTO – HABITAÇÃO</w:t>
      </w:r>
    </w:p>
    <w:tbl>
      <w:tblPr>
        <w:tblW w:w="11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992"/>
        <w:gridCol w:w="851"/>
        <w:gridCol w:w="1134"/>
        <w:gridCol w:w="1151"/>
        <w:gridCol w:w="767"/>
        <w:gridCol w:w="767"/>
        <w:gridCol w:w="867"/>
        <w:gridCol w:w="756"/>
        <w:gridCol w:w="767"/>
        <w:gridCol w:w="667"/>
      </w:tblGrid>
      <w:tr w:rsidR="00290981" w:rsidRPr="006308C2" w:rsidTr="006953A1">
        <w:trPr>
          <w:trHeight w:val="1987"/>
          <w:jc w:val="center"/>
        </w:trPr>
        <w:tc>
          <w:tcPr>
            <w:tcW w:w="3363" w:type="dxa"/>
            <w:gridSpan w:val="2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INDICADOR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ANO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rPr>
                <w:b/>
              </w:rPr>
            </w:pPr>
            <w:r w:rsidRPr="006308C2">
              <w:rPr>
                <w:b/>
              </w:rPr>
              <w:t>UNIDADE</w:t>
            </w:r>
          </w:p>
        </w:tc>
        <w:tc>
          <w:tcPr>
            <w:tcW w:w="1151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6308C2">
              <w:rPr>
                <w:b/>
              </w:rPr>
              <w:t>PARANÁ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</w:rPr>
            </w:pPr>
            <w:r w:rsidRPr="006308C2">
              <w:rPr>
                <w:b/>
              </w:rPr>
              <w:t>CAMBÉ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IBIPORÃ</w:t>
            </w:r>
          </w:p>
        </w:tc>
        <w:tc>
          <w:tcPr>
            <w:tcW w:w="867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LONDRINA</w:t>
            </w:r>
          </w:p>
        </w:tc>
        <w:tc>
          <w:tcPr>
            <w:tcW w:w="756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PITANGUEIRAS</w:t>
            </w:r>
          </w:p>
        </w:tc>
        <w:tc>
          <w:tcPr>
            <w:tcW w:w="767" w:type="dxa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ROLÃNDIA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ind w:left="113" w:right="113"/>
              <w:rPr>
                <w:b/>
                <w:szCs w:val="18"/>
              </w:rPr>
            </w:pPr>
            <w:r w:rsidRPr="006308C2">
              <w:rPr>
                <w:rFonts w:cs="Arial"/>
                <w:b/>
                <w:szCs w:val="18"/>
              </w:rPr>
              <w:t>TAMARANA</w:t>
            </w:r>
          </w:p>
        </w:tc>
      </w:tr>
      <w:tr w:rsidR="00290981" w:rsidRPr="006308C2" w:rsidTr="006953A1">
        <w:trPr>
          <w:trHeight w:val="515"/>
          <w:jc w:val="center"/>
        </w:trPr>
        <w:tc>
          <w:tcPr>
            <w:tcW w:w="3363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 w:rsidRPr="006308C2">
              <w:t>Total de domicílios permanentes</w:t>
            </w:r>
          </w:p>
        </w:tc>
        <w:tc>
          <w:tcPr>
            <w:tcW w:w="8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1134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domicílios</w:t>
            </w:r>
          </w:p>
        </w:tc>
        <w:tc>
          <w:tcPr>
            <w:tcW w:w="11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3.126.912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27.482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13.595</w:t>
            </w:r>
          </w:p>
        </w:tc>
        <w:tc>
          <w:tcPr>
            <w:tcW w:w="8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149.593</w:t>
            </w:r>
          </w:p>
        </w:tc>
        <w:tc>
          <w:tcPr>
            <w:tcW w:w="75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883</w:t>
            </w:r>
          </w:p>
        </w:tc>
        <w:tc>
          <w:tcPr>
            <w:tcW w:w="7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15.683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3.265</w:t>
            </w:r>
          </w:p>
        </w:tc>
      </w:tr>
      <w:tr w:rsidR="00290981" w:rsidRPr="006308C2" w:rsidTr="006953A1">
        <w:trPr>
          <w:trHeight w:val="165"/>
          <w:jc w:val="center"/>
        </w:trPr>
        <w:tc>
          <w:tcPr>
            <w:tcW w:w="3363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8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1134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domicílios</w:t>
            </w:r>
          </w:p>
        </w:tc>
        <w:tc>
          <w:tcPr>
            <w:tcW w:w="11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3.755.090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both"/>
            </w:pPr>
            <w:r>
              <w:t>33.644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16.449</w:t>
            </w:r>
          </w:p>
        </w:tc>
        <w:tc>
          <w:tcPr>
            <w:tcW w:w="8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181.167</w:t>
            </w:r>
          </w:p>
        </w:tc>
        <w:tc>
          <w:tcPr>
            <w:tcW w:w="75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975</w:t>
            </w:r>
          </w:p>
        </w:tc>
        <w:tc>
          <w:tcPr>
            <w:tcW w:w="7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20.065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4.094</w:t>
            </w:r>
          </w:p>
        </w:tc>
      </w:tr>
      <w:tr w:rsidR="00290981" w:rsidRPr="006308C2" w:rsidTr="006953A1">
        <w:trPr>
          <w:trHeight w:val="281"/>
          <w:jc w:val="center"/>
        </w:trPr>
        <w:tc>
          <w:tcPr>
            <w:tcW w:w="3363" w:type="dxa"/>
            <w:gridSpan w:val="2"/>
            <w:vMerge w:val="restart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  <w:r w:rsidRPr="006308C2">
              <w:t>Domicílios particulares permanentes próprios</w:t>
            </w:r>
          </w:p>
        </w:tc>
        <w:tc>
          <w:tcPr>
            <w:tcW w:w="8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2000</w:t>
            </w:r>
          </w:p>
        </w:tc>
        <w:tc>
          <w:tcPr>
            <w:tcW w:w="1134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domicílios</w:t>
            </w:r>
          </w:p>
        </w:tc>
        <w:tc>
          <w:tcPr>
            <w:tcW w:w="11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3.122.715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27.465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13.586</w:t>
            </w:r>
          </w:p>
        </w:tc>
        <w:tc>
          <w:tcPr>
            <w:tcW w:w="8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149.406</w:t>
            </w:r>
          </w:p>
        </w:tc>
        <w:tc>
          <w:tcPr>
            <w:tcW w:w="75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883</w:t>
            </w:r>
          </w:p>
        </w:tc>
        <w:tc>
          <w:tcPr>
            <w:tcW w:w="7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15.661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3.262</w:t>
            </w:r>
          </w:p>
        </w:tc>
      </w:tr>
      <w:tr w:rsidR="00290981" w:rsidRPr="006308C2" w:rsidTr="006953A1">
        <w:trPr>
          <w:trHeight w:val="165"/>
          <w:jc w:val="center"/>
        </w:trPr>
        <w:tc>
          <w:tcPr>
            <w:tcW w:w="3363" w:type="dxa"/>
            <w:gridSpan w:val="2"/>
            <w:vMerge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8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2010</w:t>
            </w:r>
          </w:p>
        </w:tc>
        <w:tc>
          <w:tcPr>
            <w:tcW w:w="1134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 w:rsidRPr="006308C2">
              <w:t>domicílios</w:t>
            </w:r>
          </w:p>
        </w:tc>
        <w:tc>
          <w:tcPr>
            <w:tcW w:w="1151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3.749.527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33.623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16.449</w:t>
            </w:r>
          </w:p>
        </w:tc>
        <w:tc>
          <w:tcPr>
            <w:tcW w:w="8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180.915</w:t>
            </w:r>
          </w:p>
        </w:tc>
        <w:tc>
          <w:tcPr>
            <w:tcW w:w="756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975</w:t>
            </w:r>
          </w:p>
        </w:tc>
        <w:tc>
          <w:tcPr>
            <w:tcW w:w="767" w:type="dxa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20.046</w:t>
            </w:r>
          </w:p>
        </w:tc>
        <w:tc>
          <w:tcPr>
            <w:tcW w:w="0" w:type="auto"/>
            <w:vAlign w:val="center"/>
          </w:tcPr>
          <w:p w:rsidR="00290981" w:rsidRPr="006308C2" w:rsidRDefault="00290981" w:rsidP="006953A1">
            <w:pPr>
              <w:pStyle w:val="Dadostabelas0"/>
              <w:spacing w:before="20" w:after="20"/>
            </w:pPr>
            <w:r>
              <w:t>4.089</w:t>
            </w:r>
          </w:p>
        </w:tc>
      </w:tr>
      <w:tr w:rsidR="00290981" w:rsidRPr="004002CB" w:rsidTr="006953A1">
        <w:trPr>
          <w:trHeight w:val="281"/>
          <w:jc w:val="center"/>
        </w:trPr>
        <w:tc>
          <w:tcPr>
            <w:tcW w:w="2371" w:type="dxa"/>
            <w:vMerge w:val="restart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  <w:r w:rsidRPr="004002CB">
              <w:t>Média de moradores por domicílio</w:t>
            </w:r>
          </w:p>
        </w:tc>
        <w:tc>
          <w:tcPr>
            <w:tcW w:w="992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  <w:r w:rsidRPr="004002CB">
              <w:t>total</w:t>
            </w:r>
          </w:p>
        </w:tc>
        <w:tc>
          <w:tcPr>
            <w:tcW w:w="851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2010</w:t>
            </w:r>
          </w:p>
        </w:tc>
        <w:tc>
          <w:tcPr>
            <w:tcW w:w="1134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habitantes</w:t>
            </w:r>
          </w:p>
        </w:tc>
        <w:tc>
          <w:tcPr>
            <w:tcW w:w="1151" w:type="dxa"/>
            <w:vAlign w:val="bottom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3,15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3,18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3,17</w:t>
            </w:r>
          </w:p>
        </w:tc>
        <w:tc>
          <w:tcPr>
            <w:tcW w:w="8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3,06</w:t>
            </w:r>
          </w:p>
        </w:tc>
        <w:tc>
          <w:tcPr>
            <w:tcW w:w="756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3,30</w:t>
            </w:r>
          </w:p>
        </w:tc>
        <w:tc>
          <w:tcPr>
            <w:tcW w:w="7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3,14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3,33</w:t>
            </w:r>
          </w:p>
        </w:tc>
      </w:tr>
      <w:tr w:rsidR="00290981" w:rsidRPr="004002CB" w:rsidTr="006953A1">
        <w:trPr>
          <w:trHeight w:val="165"/>
          <w:jc w:val="center"/>
        </w:trPr>
        <w:tc>
          <w:tcPr>
            <w:tcW w:w="2371" w:type="dxa"/>
            <w:vMerge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992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  <w:r w:rsidRPr="004002CB">
              <w:t>urbana</w:t>
            </w:r>
          </w:p>
        </w:tc>
        <w:tc>
          <w:tcPr>
            <w:tcW w:w="851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2010</w:t>
            </w:r>
          </w:p>
        </w:tc>
        <w:tc>
          <w:tcPr>
            <w:tcW w:w="1134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habitantes</w:t>
            </w:r>
          </w:p>
        </w:tc>
        <w:tc>
          <w:tcPr>
            <w:tcW w:w="1151" w:type="dxa"/>
            <w:vAlign w:val="bottom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3,12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3,17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3,16</w:t>
            </w:r>
          </w:p>
        </w:tc>
        <w:tc>
          <w:tcPr>
            <w:tcW w:w="8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3,05</w:t>
            </w:r>
          </w:p>
        </w:tc>
        <w:tc>
          <w:tcPr>
            <w:tcW w:w="756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3,31</w:t>
            </w:r>
          </w:p>
        </w:tc>
        <w:tc>
          <w:tcPr>
            <w:tcW w:w="7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3,12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3,11</w:t>
            </w:r>
          </w:p>
        </w:tc>
      </w:tr>
      <w:tr w:rsidR="00290981" w:rsidRPr="004002CB" w:rsidTr="006953A1">
        <w:trPr>
          <w:trHeight w:val="165"/>
          <w:jc w:val="center"/>
        </w:trPr>
        <w:tc>
          <w:tcPr>
            <w:tcW w:w="2371" w:type="dxa"/>
            <w:vMerge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</w:p>
        </w:tc>
        <w:tc>
          <w:tcPr>
            <w:tcW w:w="992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  <w:jc w:val="left"/>
            </w:pPr>
            <w:r w:rsidRPr="004002CB">
              <w:t>rural</w:t>
            </w:r>
          </w:p>
        </w:tc>
        <w:tc>
          <w:tcPr>
            <w:tcW w:w="851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2010</w:t>
            </w:r>
          </w:p>
        </w:tc>
        <w:tc>
          <w:tcPr>
            <w:tcW w:w="1134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habitantes</w:t>
            </w:r>
          </w:p>
        </w:tc>
        <w:tc>
          <w:tcPr>
            <w:tcW w:w="1151" w:type="dxa"/>
            <w:vAlign w:val="bottom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3,29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3,25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3,42</w:t>
            </w:r>
          </w:p>
        </w:tc>
        <w:tc>
          <w:tcPr>
            <w:tcW w:w="8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 w:rsidRPr="004002CB">
              <w:t>3,25</w:t>
            </w:r>
          </w:p>
        </w:tc>
        <w:tc>
          <w:tcPr>
            <w:tcW w:w="756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3,63</w:t>
            </w:r>
          </w:p>
        </w:tc>
        <w:tc>
          <w:tcPr>
            <w:tcW w:w="767" w:type="dxa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3,34</w:t>
            </w:r>
          </w:p>
        </w:tc>
        <w:tc>
          <w:tcPr>
            <w:tcW w:w="0" w:type="auto"/>
            <w:vAlign w:val="center"/>
          </w:tcPr>
          <w:p w:rsidR="00290981" w:rsidRPr="004002CB" w:rsidRDefault="00290981" w:rsidP="006953A1">
            <w:pPr>
              <w:pStyle w:val="Dadostabelas0"/>
              <w:spacing w:before="20" w:after="20"/>
            </w:pPr>
            <w:r>
              <w:t>3,56</w:t>
            </w:r>
          </w:p>
        </w:tc>
      </w:tr>
    </w:tbl>
    <w:p w:rsidR="00290981" w:rsidRPr="00EF3540" w:rsidRDefault="00290981" w:rsidP="00290981">
      <w:pPr>
        <w:pStyle w:val="Fonte"/>
        <w:ind w:firstLine="2268"/>
      </w:pPr>
      <w:r w:rsidRPr="004002CB">
        <w:t>Fonte: IBGE. Censos Demográficos 2000, 2010.</w:t>
      </w:r>
    </w:p>
    <w:p w:rsidR="00290981" w:rsidRPr="00D95373" w:rsidRDefault="00290981" w:rsidP="00290981">
      <w:pPr>
        <w:pStyle w:val="Legenda"/>
        <w:rPr>
          <w:b w:val="0"/>
        </w:rPr>
      </w:pPr>
    </w:p>
    <w:p w:rsidR="00290981" w:rsidRDefault="00290981"/>
    <w:sectPr w:rsidR="00290981" w:rsidSect="00290981">
      <w:pgSz w:w="16838" w:h="11906" w:orient="landscape"/>
      <w:pgMar w:top="1134" w:right="1134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0A" w:rsidRDefault="003E3F0A" w:rsidP="00290981">
      <w:r>
        <w:separator/>
      </w:r>
    </w:p>
  </w:endnote>
  <w:endnote w:type="continuationSeparator" w:id="0">
    <w:p w:rsidR="003E3F0A" w:rsidRDefault="003E3F0A" w:rsidP="0029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0A" w:rsidRDefault="003E3F0A" w:rsidP="00290981">
      <w:r>
        <w:separator/>
      </w:r>
    </w:p>
  </w:footnote>
  <w:footnote w:type="continuationSeparator" w:id="0">
    <w:p w:rsidR="003E3F0A" w:rsidRDefault="003E3F0A" w:rsidP="0029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81" w:rsidRPr="00290981" w:rsidRDefault="00290981" w:rsidP="00290981">
    <w:pPr>
      <w:pStyle w:val="Cabealho"/>
      <w:jc w:val="center"/>
      <w:rPr>
        <w:sz w:val="16"/>
        <w:szCs w:val="16"/>
      </w:rPr>
    </w:pPr>
    <w:r w:rsidRPr="00290981">
      <w:rPr>
        <w:sz w:val="16"/>
        <w:szCs w:val="16"/>
      </w:rPr>
      <w:t>ANEXO IV DA LEI DO PLANO DIRETOR DE CAMBÉ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7FB"/>
    <w:multiLevelType w:val="hybridMultilevel"/>
    <w:tmpl w:val="ADECE6A6"/>
    <w:lvl w:ilvl="0" w:tplc="09DC99CE">
      <w:start w:val="1"/>
      <w:numFmt w:val="bullet"/>
      <w:pStyle w:val="Commarc"/>
      <w:lvlText w:val="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B5EE9BC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Verdana" w:hint="default"/>
      </w:rPr>
    </w:lvl>
    <w:lvl w:ilvl="2" w:tplc="63B460DE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7A9C0FD4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BADAF0CC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Verdana" w:hint="default"/>
      </w:rPr>
    </w:lvl>
    <w:lvl w:ilvl="5" w:tplc="79C0422C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E9144C50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329C0C4A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Verdana" w:hint="default"/>
      </w:rPr>
    </w:lvl>
    <w:lvl w:ilvl="8" w:tplc="CD027EC2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1DAE458C"/>
    <w:multiLevelType w:val="multilevel"/>
    <w:tmpl w:val="7F6E3C80"/>
    <w:lvl w:ilvl="0">
      <w:start w:val="1"/>
      <w:numFmt w:val="lowerLetter"/>
      <w:pStyle w:val="Numeradanivel1"/>
      <w:lvlText w:val="%1)"/>
      <w:lvlJc w:val="left"/>
      <w:pPr>
        <w:tabs>
          <w:tab w:val="num" w:pos="1814"/>
        </w:tabs>
        <w:ind w:left="1814" w:hanging="396"/>
      </w:pPr>
      <w:rPr>
        <w:rFonts w:hint="default"/>
        <w:sz w:val="24"/>
        <w:szCs w:val="24"/>
      </w:rPr>
    </w:lvl>
    <w:lvl w:ilvl="1">
      <w:start w:val="1"/>
      <w:numFmt w:val="decimal"/>
      <w:pStyle w:val="Numeradanivel2"/>
      <w:lvlText w:val="%2)"/>
      <w:lvlJc w:val="left"/>
      <w:pPr>
        <w:tabs>
          <w:tab w:val="num" w:pos="2098"/>
        </w:tabs>
        <w:ind w:left="2098" w:hanging="284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" w15:restartNumberingAfterBreak="0">
    <w:nsid w:val="1F32093C"/>
    <w:multiLevelType w:val="hybridMultilevel"/>
    <w:tmpl w:val="E51E50F2"/>
    <w:lvl w:ilvl="0" w:tplc="4F5003BA">
      <w:start w:val="1"/>
      <w:numFmt w:val="bullet"/>
      <w:pStyle w:val="Dadostabelascondicionantes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45A5"/>
    <w:multiLevelType w:val="hybridMultilevel"/>
    <w:tmpl w:val="9892BA8C"/>
    <w:lvl w:ilvl="0" w:tplc="12EE83E6">
      <w:start w:val="1"/>
      <w:numFmt w:val="bullet"/>
      <w:pStyle w:val="Marcadoressimples"/>
      <w:lvlText w:val=""/>
      <w:lvlJc w:val="left"/>
      <w:pPr>
        <w:tabs>
          <w:tab w:val="num" w:pos="4593"/>
        </w:tabs>
        <w:ind w:left="4593" w:hanging="340"/>
      </w:pPr>
      <w:rPr>
        <w:rFonts w:ascii="Symbol" w:hAnsi="Symbol" w:hint="default"/>
        <w:color w:val="auto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C4BA4"/>
    <w:multiLevelType w:val="hybridMultilevel"/>
    <w:tmpl w:val="51E42CB4"/>
    <w:lvl w:ilvl="0" w:tplc="F3189C52">
      <w:start w:val="1"/>
      <w:numFmt w:val="lowerLetter"/>
      <w:pStyle w:val="Marcadoresabc"/>
      <w:lvlText w:val="%1)"/>
      <w:lvlJc w:val="left"/>
      <w:pPr>
        <w:tabs>
          <w:tab w:val="num" w:pos="1361"/>
        </w:tabs>
        <w:ind w:left="1361" w:hanging="34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277582"/>
    <w:multiLevelType w:val="multilevel"/>
    <w:tmpl w:val="4436476A"/>
    <w:lvl w:ilvl="0">
      <w:start w:val="1"/>
      <w:numFmt w:val="decimal"/>
      <w:pStyle w:val="Artigo1-9"/>
      <w:lvlText w:val="Art. %1º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1">
      <w:start w:val="10"/>
      <w:numFmt w:val="decimal"/>
      <w:lvlRestart w:val="0"/>
      <w:pStyle w:val="Artigos10-"/>
      <w:lvlText w:val="Art. %2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2">
      <w:start w:val="1"/>
      <w:numFmt w:val="none"/>
      <w:lvlText w:val="%3"/>
      <w:lvlJc w:val="left"/>
      <w:pPr>
        <w:tabs>
          <w:tab w:val="num" w:pos="1021"/>
        </w:tabs>
        <w:ind w:left="1701" w:hanging="680"/>
      </w:pPr>
      <w:rPr>
        <w:rFonts w:hint="default"/>
        <w:b/>
        <w:i w:val="0"/>
      </w:rPr>
    </w:lvl>
    <w:lvl w:ilvl="3">
      <w:start w:val="1"/>
      <w:numFmt w:val="upperRoman"/>
      <w:pStyle w:val="Incisos"/>
      <w:lvlText w:val="%4."/>
      <w:lvlJc w:val="left"/>
      <w:pPr>
        <w:tabs>
          <w:tab w:val="num" w:pos="2381"/>
        </w:tabs>
        <w:ind w:left="2381" w:hanging="680"/>
      </w:pPr>
      <w:rPr>
        <w:rFonts w:hint="default"/>
        <w:b/>
        <w:i w:val="0"/>
      </w:rPr>
    </w:lvl>
    <w:lvl w:ilvl="4">
      <w:start w:val="1"/>
      <w:numFmt w:val="lowerLetter"/>
      <w:pStyle w:val="alineas"/>
      <w:lvlText w:val="%5."/>
      <w:lvlJc w:val="left"/>
      <w:pPr>
        <w:tabs>
          <w:tab w:val="num" w:pos="2778"/>
        </w:tabs>
        <w:ind w:left="2778" w:hanging="397"/>
      </w:pPr>
      <w:rPr>
        <w:rFonts w:hint="default"/>
        <w:b/>
        <w:i w:val="0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6" w15:restartNumberingAfterBreak="0">
    <w:nsid w:val="7F966999"/>
    <w:multiLevelType w:val="singleLevel"/>
    <w:tmpl w:val="B96866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81"/>
    <w:rsid w:val="002470A2"/>
    <w:rsid w:val="00290981"/>
    <w:rsid w:val="003E3F0A"/>
    <w:rsid w:val="004928F4"/>
    <w:rsid w:val="008B0C8C"/>
    <w:rsid w:val="009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5AA"/>
  <w15:chartTrackingRefBased/>
  <w15:docId w15:val="{F224033A-5A5F-421F-B01F-AEBA1936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81"/>
    <w:pPr>
      <w:spacing w:after="0" w:line="240" w:lineRule="auto"/>
    </w:pPr>
    <w:rPr>
      <w:rFonts w:eastAsia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0981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290981"/>
    <w:pPr>
      <w:keepNext/>
      <w:spacing w:before="60" w:after="60" w:line="320" w:lineRule="atLeast"/>
      <w:ind w:firstLine="851"/>
      <w:jc w:val="both"/>
      <w:outlineLvl w:val="1"/>
    </w:pPr>
    <w:rPr>
      <w:b/>
      <w:color w:val="0000FF"/>
    </w:rPr>
  </w:style>
  <w:style w:type="paragraph" w:styleId="Ttulo3">
    <w:name w:val="heading 3"/>
    <w:basedOn w:val="Normal"/>
    <w:next w:val="Normal"/>
    <w:link w:val="Ttulo3Char"/>
    <w:qFormat/>
    <w:rsid w:val="00290981"/>
    <w:pPr>
      <w:keepNext/>
      <w:spacing w:before="60" w:after="60" w:line="320" w:lineRule="atLeast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90981"/>
    <w:pPr>
      <w:keepNext/>
      <w:jc w:val="center"/>
      <w:outlineLvl w:val="3"/>
    </w:pPr>
    <w:rPr>
      <w:b/>
      <w:color w:val="0000FF"/>
    </w:rPr>
  </w:style>
  <w:style w:type="paragraph" w:styleId="Ttulo5">
    <w:name w:val="heading 5"/>
    <w:basedOn w:val="Normal"/>
    <w:next w:val="Normal"/>
    <w:link w:val="Ttulo5Char"/>
    <w:qFormat/>
    <w:rsid w:val="00290981"/>
    <w:pPr>
      <w:keepNext/>
      <w:spacing w:before="20" w:after="20"/>
      <w:jc w:val="both"/>
      <w:outlineLvl w:val="4"/>
    </w:pPr>
    <w:rPr>
      <w:b/>
      <w:sz w:val="20"/>
    </w:rPr>
  </w:style>
  <w:style w:type="paragraph" w:styleId="Ttulo6">
    <w:name w:val="heading 6"/>
    <w:basedOn w:val="Normal"/>
    <w:next w:val="Normal"/>
    <w:link w:val="Ttulo6Char"/>
    <w:qFormat/>
    <w:rsid w:val="00290981"/>
    <w:pPr>
      <w:keepNext/>
      <w:spacing w:before="60" w:after="60" w:line="320" w:lineRule="atLeast"/>
      <w:ind w:firstLine="851"/>
      <w:jc w:val="both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290981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290981"/>
    <w:pPr>
      <w:keepNext/>
      <w:spacing w:before="20" w:after="20"/>
      <w:jc w:val="center"/>
      <w:outlineLvl w:val="7"/>
    </w:pPr>
    <w:rPr>
      <w:b/>
      <w:sz w:val="20"/>
    </w:rPr>
  </w:style>
  <w:style w:type="paragraph" w:styleId="Ttulo9">
    <w:name w:val="heading 9"/>
    <w:basedOn w:val="Normal"/>
    <w:next w:val="Normal"/>
    <w:link w:val="Ttulo9Char"/>
    <w:qFormat/>
    <w:rsid w:val="00290981"/>
    <w:pPr>
      <w:keepNext/>
      <w:spacing w:before="60" w:after="60" w:line="320" w:lineRule="atLeast"/>
      <w:jc w:val="both"/>
      <w:outlineLvl w:val="8"/>
    </w:pPr>
    <w:rPr>
      <w:color w:val="FF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0981"/>
    <w:rPr>
      <w:rFonts w:eastAsia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90981"/>
    <w:rPr>
      <w:rFonts w:eastAsia="Times New Roman" w:cs="Times New Roman"/>
      <w:b/>
      <w:color w:val="0000FF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90981"/>
    <w:rPr>
      <w:rFonts w:eastAsia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90981"/>
    <w:rPr>
      <w:rFonts w:eastAsia="Times New Roman" w:cs="Times New Roman"/>
      <w:b/>
      <w:color w:val="0000FF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90981"/>
    <w:rPr>
      <w:rFonts w:eastAsia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0981"/>
    <w:rPr>
      <w:rFonts w:eastAsia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90981"/>
    <w:rPr>
      <w:rFonts w:eastAsia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90981"/>
    <w:rPr>
      <w:rFonts w:eastAsia="Times New Roman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90981"/>
    <w:rPr>
      <w:rFonts w:eastAsia="Times New Roman" w:cs="Times New Roman"/>
      <w:color w:val="FF0000"/>
      <w:szCs w:val="20"/>
      <w:u w:val="single"/>
      <w:lang w:eastAsia="pt-BR"/>
    </w:rPr>
  </w:style>
  <w:style w:type="paragraph" w:styleId="Recuodecorpodetexto">
    <w:name w:val="Body Text Indent"/>
    <w:aliases w:val="Parágrafo"/>
    <w:basedOn w:val="Normal"/>
    <w:link w:val="RecuodecorpodetextoChar"/>
    <w:rsid w:val="00290981"/>
    <w:pPr>
      <w:ind w:firstLine="851"/>
    </w:pPr>
  </w:style>
  <w:style w:type="character" w:customStyle="1" w:styleId="RecuodecorpodetextoChar">
    <w:name w:val="Recuo de corpo de texto Char"/>
    <w:aliases w:val="Parágrafo Char"/>
    <w:basedOn w:val="Fontepargpadro"/>
    <w:link w:val="Recuodecorpodetexto"/>
    <w:rsid w:val="00290981"/>
    <w:rPr>
      <w:rFonts w:eastAsia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90981"/>
    <w:pPr>
      <w:ind w:firstLine="851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290981"/>
    <w:rPr>
      <w:rFonts w:eastAsia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90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0981"/>
    <w:rPr>
      <w:rFonts w:eastAsia="Times New Roman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90981"/>
    <w:pPr>
      <w:spacing w:before="120" w:line="360" w:lineRule="auto"/>
      <w:ind w:firstLine="851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290981"/>
    <w:rPr>
      <w:rFonts w:eastAsia="Times New Roman" w:cs="Times New Roman"/>
      <w:color w:val="FF000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29098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90981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290981"/>
    <w:rPr>
      <w:vertAlign w:val="superscript"/>
    </w:rPr>
  </w:style>
  <w:style w:type="paragraph" w:styleId="Corpodetexto2">
    <w:name w:val="Body Text 2"/>
    <w:basedOn w:val="Normal"/>
    <w:link w:val="Corpodetexto2Char"/>
    <w:semiHidden/>
    <w:rsid w:val="00290981"/>
    <w:pPr>
      <w:jc w:val="both"/>
    </w:pPr>
    <w:rPr>
      <w:color w:val="FF0000"/>
    </w:rPr>
  </w:style>
  <w:style w:type="character" w:customStyle="1" w:styleId="Corpodetexto2Char">
    <w:name w:val="Corpo de texto 2 Char"/>
    <w:basedOn w:val="Fontepargpadro"/>
    <w:link w:val="Corpodetexto2"/>
    <w:semiHidden/>
    <w:rsid w:val="00290981"/>
    <w:rPr>
      <w:rFonts w:eastAsia="Times New Roman" w:cs="Times New Roman"/>
      <w:color w:val="FF0000"/>
      <w:szCs w:val="20"/>
      <w:lang w:eastAsia="pt-BR"/>
    </w:rPr>
  </w:style>
  <w:style w:type="paragraph" w:styleId="Rodap">
    <w:name w:val="footer"/>
    <w:basedOn w:val="Normal"/>
    <w:link w:val="RodapChar"/>
    <w:rsid w:val="0029098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90981"/>
    <w:rPr>
      <w:rFonts w:eastAsia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290981"/>
    <w:pPr>
      <w:spacing w:before="60" w:after="60" w:line="320" w:lineRule="atLeast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290981"/>
    <w:rPr>
      <w:rFonts w:eastAsia="Times New Roman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90981"/>
    <w:pPr>
      <w:spacing w:before="60" w:after="60" w:line="320" w:lineRule="atLeast"/>
      <w:jc w:val="both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290981"/>
    <w:rPr>
      <w:rFonts w:eastAsia="Times New Roman" w:cs="Times New Roman"/>
      <w:b/>
      <w:sz w:val="28"/>
      <w:szCs w:val="20"/>
      <w:lang w:eastAsia="pt-BR"/>
    </w:rPr>
  </w:style>
  <w:style w:type="character" w:styleId="Nmerodepgina">
    <w:name w:val="page number"/>
    <w:rsid w:val="00290981"/>
    <w:rPr>
      <w:sz w:val="20"/>
    </w:rPr>
  </w:style>
  <w:style w:type="paragraph" w:styleId="TextosemFormatao">
    <w:name w:val="Plain Text"/>
    <w:basedOn w:val="Normal"/>
    <w:link w:val="TextosemFormataoChar"/>
    <w:semiHidden/>
    <w:rsid w:val="00290981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90981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rtigo1-9">
    <w:name w:val="Artigo 1-9"/>
    <w:basedOn w:val="Normal"/>
    <w:autoRedefine/>
    <w:rsid w:val="00290981"/>
    <w:pPr>
      <w:numPr>
        <w:numId w:val="2"/>
      </w:numPr>
      <w:spacing w:after="240"/>
      <w:jc w:val="both"/>
    </w:pPr>
    <w:rPr>
      <w:rFonts w:cs="Arial"/>
      <w:szCs w:val="24"/>
    </w:rPr>
  </w:style>
  <w:style w:type="paragraph" w:customStyle="1" w:styleId="Artigos10-">
    <w:name w:val="Artigos 10-"/>
    <w:basedOn w:val="Artigo1-9"/>
    <w:rsid w:val="00290981"/>
    <w:pPr>
      <w:widowControl w:val="0"/>
      <w:numPr>
        <w:ilvl w:val="1"/>
      </w:numPr>
      <w:spacing w:after="200" w:line="240" w:lineRule="exact"/>
    </w:pPr>
  </w:style>
  <w:style w:type="paragraph" w:customStyle="1" w:styleId="alineas">
    <w:name w:val="alineas"/>
    <w:basedOn w:val="Normal"/>
    <w:rsid w:val="00290981"/>
    <w:pPr>
      <w:numPr>
        <w:ilvl w:val="4"/>
        <w:numId w:val="2"/>
      </w:numPr>
      <w:suppressLineNumbers/>
      <w:suppressAutoHyphens/>
      <w:spacing w:after="160" w:line="240" w:lineRule="exact"/>
      <w:jc w:val="both"/>
    </w:pPr>
    <w:rPr>
      <w:szCs w:val="24"/>
    </w:rPr>
  </w:style>
  <w:style w:type="paragraph" w:customStyle="1" w:styleId="Incisos">
    <w:name w:val="Incisos"/>
    <w:basedOn w:val="Normal"/>
    <w:rsid w:val="00290981"/>
    <w:pPr>
      <w:widowControl w:val="0"/>
      <w:numPr>
        <w:ilvl w:val="3"/>
        <w:numId w:val="2"/>
      </w:numPr>
      <w:spacing w:after="160" w:line="240" w:lineRule="exact"/>
      <w:jc w:val="both"/>
    </w:pPr>
    <w:rPr>
      <w:szCs w:val="24"/>
    </w:rPr>
  </w:style>
  <w:style w:type="paragraph" w:styleId="NormalWeb">
    <w:name w:val="Normal (Web)"/>
    <w:basedOn w:val="Normal"/>
    <w:rsid w:val="00290981"/>
    <w:pPr>
      <w:spacing w:before="100" w:after="100"/>
    </w:pPr>
    <w:rPr>
      <w:rFonts w:ascii="Arial Unicode MS" w:eastAsia="Arial Unicode MS" w:hAnsi="Arial Unicode MS"/>
    </w:rPr>
  </w:style>
  <w:style w:type="paragraph" w:customStyle="1" w:styleId="Commarc">
    <w:name w:val="Com marc"/>
    <w:basedOn w:val="Normal"/>
    <w:rsid w:val="00290981"/>
    <w:pPr>
      <w:numPr>
        <w:numId w:val="3"/>
      </w:numPr>
      <w:spacing w:before="120"/>
      <w:jc w:val="both"/>
    </w:pPr>
  </w:style>
  <w:style w:type="paragraph" w:customStyle="1" w:styleId="DIRETRIZES">
    <w:name w:val="DIRETRIZES"/>
    <w:basedOn w:val="Recuodecorpodetexto"/>
    <w:rsid w:val="00290981"/>
    <w:pPr>
      <w:spacing w:before="20" w:after="20"/>
      <w:ind w:firstLine="0"/>
    </w:pPr>
    <w:rPr>
      <w:sz w:val="20"/>
    </w:rPr>
  </w:style>
  <w:style w:type="table" w:styleId="Tabelacomgrade">
    <w:name w:val="Table Grid"/>
    <w:basedOn w:val="Tabelanormal"/>
    <w:uiPriority w:val="39"/>
    <w:rsid w:val="0029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">
    <w:name w:val="Figura"/>
    <w:basedOn w:val="Normal"/>
    <w:next w:val="Fonte"/>
    <w:qFormat/>
    <w:rsid w:val="00290981"/>
    <w:pPr>
      <w:spacing w:line="0" w:lineRule="atLeast"/>
      <w:jc w:val="center"/>
    </w:pPr>
    <w:rPr>
      <w:szCs w:val="24"/>
    </w:rPr>
  </w:style>
  <w:style w:type="paragraph" w:styleId="Legenda">
    <w:name w:val="caption"/>
    <w:basedOn w:val="Normal"/>
    <w:qFormat/>
    <w:rsid w:val="00290981"/>
    <w:pPr>
      <w:keepNext/>
      <w:keepLines/>
      <w:overflowPunct w:val="0"/>
      <w:autoSpaceDE w:val="0"/>
      <w:autoSpaceDN w:val="0"/>
      <w:adjustRightInd w:val="0"/>
      <w:spacing w:after="120"/>
      <w:contextualSpacing/>
      <w:jc w:val="center"/>
      <w:textAlignment w:val="baseline"/>
    </w:pPr>
    <w:rPr>
      <w:b/>
      <w:caps/>
      <w:sz w:val="20"/>
    </w:rPr>
  </w:style>
  <w:style w:type="character" w:styleId="Forte">
    <w:name w:val="Strong"/>
    <w:qFormat/>
    <w:rsid w:val="00290981"/>
    <w:rPr>
      <w:b/>
      <w:bCs/>
    </w:rPr>
  </w:style>
  <w:style w:type="table" w:customStyle="1" w:styleId="TabelaPlanoDiretor">
    <w:name w:val="Tabela Plano Diretor"/>
    <w:basedOn w:val="Tabelanormal"/>
    <w:rsid w:val="00290981"/>
    <w:pPr>
      <w:spacing w:before="20" w:after="20" w:line="240" w:lineRule="auto"/>
      <w:jc w:val="center"/>
    </w:pPr>
    <w:rPr>
      <w:rFonts w:eastAsia="Times New Roman" w:cs="Times New Roman"/>
      <w:sz w:val="18"/>
      <w:szCs w:val="18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Fonte">
    <w:name w:val="Fonte"/>
    <w:basedOn w:val="Normal"/>
    <w:rsid w:val="00290981"/>
    <w:pPr>
      <w:keepLines/>
      <w:overflowPunct w:val="0"/>
      <w:autoSpaceDE w:val="0"/>
      <w:autoSpaceDN w:val="0"/>
      <w:adjustRightInd w:val="0"/>
      <w:spacing w:before="40" w:after="120"/>
      <w:contextualSpacing/>
      <w:textAlignment w:val="baseline"/>
    </w:pPr>
    <w:rPr>
      <w:noProof/>
      <w:sz w:val="16"/>
      <w:szCs w:val="16"/>
    </w:rPr>
  </w:style>
  <w:style w:type="paragraph" w:customStyle="1" w:styleId="Pargrafos">
    <w:name w:val="Parágrafos"/>
    <w:basedOn w:val="Normal"/>
    <w:link w:val="PargrafosChar"/>
    <w:qFormat/>
    <w:rsid w:val="00290981"/>
    <w:pPr>
      <w:spacing w:before="60" w:after="60" w:line="320" w:lineRule="atLeast"/>
      <w:ind w:firstLine="1021"/>
      <w:jc w:val="both"/>
    </w:pPr>
    <w:rPr>
      <w:szCs w:val="24"/>
    </w:rPr>
  </w:style>
  <w:style w:type="paragraph" w:customStyle="1" w:styleId="Mapas">
    <w:name w:val="Mapas"/>
    <w:basedOn w:val="Normal"/>
    <w:next w:val="Pargrafos"/>
    <w:rsid w:val="00290981"/>
    <w:pPr>
      <w:jc w:val="center"/>
    </w:pPr>
    <w:rPr>
      <w:b/>
      <w:caps/>
      <w:sz w:val="20"/>
    </w:rPr>
  </w:style>
  <w:style w:type="paragraph" w:customStyle="1" w:styleId="TtuloPginaderosto">
    <w:name w:val="Título Página de rosto"/>
    <w:basedOn w:val="Ttulo1"/>
    <w:next w:val="Ttulo1"/>
    <w:rsid w:val="00290981"/>
    <w:pPr>
      <w:keepNext w:val="0"/>
      <w:keepLines/>
      <w:spacing w:before="10400"/>
      <w:jc w:val="right"/>
    </w:pPr>
    <w:rPr>
      <w:caps/>
      <w:sz w:val="56"/>
      <w:szCs w:val="56"/>
    </w:rPr>
  </w:style>
  <w:style w:type="paragraph" w:customStyle="1" w:styleId="Ttulosemnumerao">
    <w:name w:val="Título sem numeração"/>
    <w:basedOn w:val="Normal"/>
    <w:rsid w:val="00290981"/>
    <w:pPr>
      <w:keepNext/>
      <w:keepLines/>
      <w:spacing w:after="240"/>
      <w:jc w:val="both"/>
    </w:pPr>
    <w:rPr>
      <w:b/>
      <w:caps/>
      <w:sz w:val="32"/>
      <w:szCs w:val="32"/>
    </w:rPr>
  </w:style>
  <w:style w:type="paragraph" w:customStyle="1" w:styleId="DadosTabelas">
    <w:name w:val="Dados Tabelas"/>
    <w:basedOn w:val="Normal"/>
    <w:rsid w:val="00290981"/>
    <w:pPr>
      <w:keepNext/>
      <w:keepLines/>
      <w:spacing w:before="20" w:after="20"/>
      <w:jc w:val="both"/>
    </w:pPr>
    <w:rPr>
      <w:sz w:val="18"/>
      <w:szCs w:val="18"/>
    </w:rPr>
  </w:style>
  <w:style w:type="paragraph" w:customStyle="1" w:styleId="Dadostabelas0">
    <w:name w:val="Dados tabelas"/>
    <w:basedOn w:val="Normal"/>
    <w:rsid w:val="0029098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customStyle="1" w:styleId="PargrafosChar">
    <w:name w:val="Parágrafos Char"/>
    <w:link w:val="Pargrafos"/>
    <w:rsid w:val="00290981"/>
    <w:rPr>
      <w:rFonts w:eastAsia="Times New Roman" w:cs="Times New Roman"/>
      <w:szCs w:val="24"/>
      <w:lang w:eastAsia="pt-BR"/>
    </w:rPr>
  </w:style>
  <w:style w:type="paragraph" w:customStyle="1" w:styleId="Marcadoresabc">
    <w:name w:val="Marcadores a b c"/>
    <w:basedOn w:val="Pargrafos"/>
    <w:qFormat/>
    <w:rsid w:val="00290981"/>
    <w:pPr>
      <w:numPr>
        <w:numId w:val="5"/>
      </w:numPr>
      <w:tabs>
        <w:tab w:val="clear" w:pos="1361"/>
        <w:tab w:val="num" w:pos="1271"/>
      </w:tabs>
      <w:ind w:left="1271" w:hanging="420"/>
    </w:pPr>
  </w:style>
  <w:style w:type="paragraph" w:customStyle="1" w:styleId="Marcadoressimples">
    <w:name w:val="Marcadores simples"/>
    <w:basedOn w:val="Normal"/>
    <w:qFormat/>
    <w:rsid w:val="00290981"/>
    <w:pPr>
      <w:numPr>
        <w:numId w:val="4"/>
      </w:numPr>
      <w:jc w:val="both"/>
    </w:pPr>
    <w:rPr>
      <w:szCs w:val="24"/>
    </w:rPr>
  </w:style>
  <w:style w:type="paragraph" w:customStyle="1" w:styleId="Dadostabelascondicionantes">
    <w:name w:val="Dados tabelas condicionantes"/>
    <w:basedOn w:val="Normal"/>
    <w:rsid w:val="00290981"/>
    <w:pPr>
      <w:numPr>
        <w:numId w:val="6"/>
      </w:numPr>
      <w:spacing w:before="20" w:after="20"/>
    </w:pPr>
    <w:rPr>
      <w:sz w:val="16"/>
      <w:szCs w:val="18"/>
    </w:rPr>
  </w:style>
  <w:style w:type="paragraph" w:customStyle="1" w:styleId="Marcadorescomespaamento">
    <w:name w:val="Marcadores com espaçamento"/>
    <w:basedOn w:val="Marcadoressimples"/>
    <w:qFormat/>
    <w:rsid w:val="00290981"/>
    <w:pPr>
      <w:spacing w:before="60" w:after="60" w:line="320" w:lineRule="atLeast"/>
    </w:pPr>
  </w:style>
  <w:style w:type="paragraph" w:customStyle="1" w:styleId="Numeradanivel2">
    <w:name w:val="Numerada nivel 2"/>
    <w:basedOn w:val="Recuodecorpodetexto"/>
    <w:rsid w:val="00290981"/>
    <w:pPr>
      <w:numPr>
        <w:ilvl w:val="1"/>
        <w:numId w:val="7"/>
      </w:numPr>
      <w:spacing w:before="60" w:after="60" w:line="320" w:lineRule="atLeast"/>
      <w:jc w:val="both"/>
    </w:pPr>
    <w:rPr>
      <w:color w:val="0000FF"/>
    </w:rPr>
  </w:style>
  <w:style w:type="paragraph" w:customStyle="1" w:styleId="Numeradanivel1">
    <w:name w:val="Numerada nivel 1"/>
    <w:basedOn w:val="Numeradanivel2"/>
    <w:rsid w:val="00290981"/>
    <w:pPr>
      <w:numPr>
        <w:ilvl w:val="0"/>
      </w:numPr>
    </w:pPr>
  </w:style>
  <w:style w:type="paragraph" w:styleId="PargrafodaLista">
    <w:name w:val="List Paragraph"/>
    <w:basedOn w:val="Normal"/>
    <w:uiPriority w:val="34"/>
    <w:qFormat/>
    <w:rsid w:val="00290981"/>
    <w:pPr>
      <w:ind w:left="708"/>
      <w:jc w:val="both"/>
    </w:pPr>
    <w:rPr>
      <w:szCs w:val="24"/>
    </w:rPr>
  </w:style>
  <w:style w:type="paragraph" w:styleId="MapadoDocumento">
    <w:name w:val="Document Map"/>
    <w:basedOn w:val="Normal"/>
    <w:link w:val="MapadoDocumentoChar"/>
    <w:semiHidden/>
    <w:rsid w:val="00290981"/>
    <w:pPr>
      <w:shd w:val="clear" w:color="auto" w:fill="000080"/>
      <w:jc w:val="both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290981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apple-style-span">
    <w:name w:val="apple-style-span"/>
    <w:rsid w:val="00290981"/>
  </w:style>
  <w:style w:type="paragraph" w:styleId="Textodebalo">
    <w:name w:val="Balloon Text"/>
    <w:basedOn w:val="Normal"/>
    <w:link w:val="TextodebaloChar"/>
    <w:rsid w:val="00290981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098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rsid w:val="0029098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90981"/>
    <w:pPr>
      <w:jc w:val="both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90981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909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90981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1635</Words>
  <Characters>8833</Characters>
  <Application>Microsoft Office Word</Application>
  <DocSecurity>0</DocSecurity>
  <Lines>73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Nestor</cp:lastModifiedBy>
  <cp:revision>1</cp:revision>
  <dcterms:created xsi:type="dcterms:W3CDTF">2019-09-04T14:45:00Z</dcterms:created>
  <dcterms:modified xsi:type="dcterms:W3CDTF">2019-09-04T14:49:00Z</dcterms:modified>
</cp:coreProperties>
</file>